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C8" w:rsidRPr="005A4DB1" w:rsidRDefault="001D4419" w:rsidP="00922BC8">
      <w:pPr>
        <w:jc w:val="right"/>
        <w:rPr>
          <w:rFonts w:ascii="Arial" w:hAnsi="Arial" w:cs="Arial"/>
          <w:sz w:val="16"/>
          <w:szCs w:val="16"/>
          <w:lang w:eastAsia="ja-JP"/>
        </w:rPr>
      </w:pPr>
      <w:r w:rsidRPr="005A4DB1">
        <w:rPr>
          <w:rFonts w:ascii="Arial" w:hAnsi="Arial" w:cs="Arial"/>
          <w:sz w:val="16"/>
          <w:szCs w:val="16"/>
          <w:lang w:eastAsia="ja-JP"/>
        </w:rPr>
        <w:t>Версия</w:t>
      </w:r>
      <w:r w:rsidR="00FE11C4" w:rsidRPr="005A4DB1">
        <w:rPr>
          <w:rFonts w:ascii="Arial" w:hAnsi="Arial" w:cs="Arial"/>
          <w:sz w:val="16"/>
          <w:szCs w:val="16"/>
          <w:lang w:eastAsia="ja-JP"/>
        </w:rPr>
        <w:t xml:space="preserve"> </w:t>
      </w:r>
      <w:r w:rsidR="00922BC8" w:rsidRPr="005A4DB1">
        <w:rPr>
          <w:rFonts w:ascii="Arial" w:hAnsi="Arial" w:cs="Arial"/>
          <w:sz w:val="16"/>
          <w:szCs w:val="16"/>
          <w:lang w:eastAsia="ja-JP"/>
        </w:rPr>
        <w:t>20</w:t>
      </w:r>
      <w:r w:rsidR="00FE11C4" w:rsidRPr="005A4DB1">
        <w:rPr>
          <w:rFonts w:ascii="Arial" w:hAnsi="Arial" w:cs="Arial"/>
          <w:sz w:val="16"/>
          <w:szCs w:val="16"/>
          <w:lang w:eastAsia="ja-JP"/>
        </w:rPr>
        <w:t>1</w:t>
      </w:r>
      <w:r w:rsidR="00F538F2" w:rsidRPr="005A4DB1">
        <w:rPr>
          <w:rFonts w:ascii="Arial" w:hAnsi="Arial" w:cs="Arial"/>
          <w:sz w:val="16"/>
          <w:szCs w:val="16"/>
          <w:lang w:eastAsia="ja-JP"/>
        </w:rPr>
        <w:t>3</w:t>
      </w:r>
      <w:r w:rsidR="005A4DB1" w:rsidRPr="005A4DB1">
        <w:rPr>
          <w:rFonts w:ascii="Arial" w:hAnsi="Arial" w:cs="Arial"/>
          <w:sz w:val="16"/>
          <w:szCs w:val="16"/>
          <w:lang w:eastAsia="ja-JP"/>
        </w:rPr>
        <w:t>.01</w:t>
      </w:r>
    </w:p>
    <w:p w:rsidR="001D4419" w:rsidRPr="005A4DB1" w:rsidRDefault="001D4419" w:rsidP="001D4419">
      <w:pPr>
        <w:jc w:val="both"/>
        <w:rPr>
          <w:rFonts w:ascii="Arial" w:hAnsi="Arial" w:cs="Arial"/>
          <w:b/>
          <w:bCs/>
          <w:sz w:val="16"/>
          <w:szCs w:val="16"/>
          <w:lang w:eastAsia="ja-JP"/>
        </w:rPr>
      </w:pPr>
      <w:r w:rsidRPr="005A4DB1">
        <w:rPr>
          <w:rFonts w:ascii="Arial" w:hAnsi="Arial" w:cs="Arial"/>
          <w:b/>
          <w:bCs/>
          <w:sz w:val="16"/>
          <w:szCs w:val="16"/>
          <w:lang w:eastAsia="ja-JP"/>
        </w:rPr>
        <w:t>Кат. №</w:t>
      </w:r>
      <w:r w:rsidR="002E31B4" w:rsidRPr="005A4DB1">
        <w:rPr>
          <w:rFonts w:ascii="Arial" w:hAnsi="Arial" w:cs="Arial"/>
          <w:b/>
          <w:bCs/>
          <w:sz w:val="16"/>
          <w:szCs w:val="16"/>
          <w:lang w:eastAsia="ja-JP"/>
        </w:rPr>
        <w:t xml:space="preserve"> </w:t>
      </w:r>
      <w:r w:rsidR="00922BC8" w:rsidRPr="005A4DB1">
        <w:rPr>
          <w:rFonts w:ascii="Arial" w:hAnsi="Arial" w:cs="Arial"/>
          <w:b/>
          <w:bCs/>
          <w:sz w:val="16"/>
          <w:szCs w:val="16"/>
          <w:lang w:eastAsia="ja-JP"/>
        </w:rPr>
        <w:t>PF10</w:t>
      </w:r>
      <w:r w:rsidR="00DF34DC" w:rsidRPr="005A4DB1">
        <w:rPr>
          <w:rFonts w:ascii="Arial" w:hAnsi="Arial" w:cs="Arial"/>
          <w:b/>
          <w:bCs/>
          <w:sz w:val="16"/>
          <w:szCs w:val="16"/>
          <w:lang w:eastAsia="ja-JP"/>
        </w:rPr>
        <w:t>1</w:t>
      </w:r>
      <w:r w:rsidR="00922BC8" w:rsidRPr="005A4DB1">
        <w:rPr>
          <w:rFonts w:ascii="Arial" w:hAnsi="Arial" w:cs="Arial"/>
          <w:b/>
          <w:bCs/>
          <w:sz w:val="16"/>
          <w:szCs w:val="16"/>
          <w:lang w:eastAsia="ja-JP"/>
        </w:rPr>
        <w:t>1</w:t>
      </w:r>
      <w:r w:rsidR="002E31B4" w:rsidRPr="005A4DB1">
        <w:rPr>
          <w:rFonts w:ascii="Arial" w:hAnsi="Arial" w:cs="Arial"/>
          <w:b/>
          <w:bCs/>
          <w:sz w:val="16"/>
          <w:szCs w:val="16"/>
          <w:lang w:eastAsia="ja-JP"/>
        </w:rPr>
        <w:t>-K</w:t>
      </w:r>
      <w:r w:rsidRPr="005A4DB1">
        <w:rPr>
          <w:rFonts w:ascii="Arial" w:hAnsi="Arial" w:cs="Arial"/>
          <w:sz w:val="16"/>
          <w:szCs w:val="16"/>
        </w:rPr>
        <w:t xml:space="preserve"> </w:t>
      </w:r>
    </w:p>
    <w:p w:rsidR="002E31B4" w:rsidRPr="005A4DB1" w:rsidRDefault="001136B5" w:rsidP="001D4419">
      <w:pPr>
        <w:jc w:val="both"/>
        <w:rPr>
          <w:rFonts w:ascii="Arial" w:hAnsi="Arial" w:cs="Arial"/>
          <w:b/>
          <w:bCs/>
          <w:sz w:val="16"/>
          <w:szCs w:val="16"/>
          <w:lang w:eastAsia="ja-JP"/>
        </w:rPr>
      </w:pPr>
      <w:r w:rsidRPr="005A4DB1">
        <w:rPr>
          <w:rFonts w:ascii="Arial" w:hAnsi="Arial" w:cs="Arial"/>
          <w:b/>
          <w:bCs/>
          <w:sz w:val="16"/>
          <w:szCs w:val="16"/>
          <w:lang w:eastAsia="ja-JP"/>
        </w:rPr>
        <w:t>Только для диагностики ин-витро</w:t>
      </w:r>
    </w:p>
    <w:p w:rsidR="00C52422" w:rsidRPr="005A4DB1" w:rsidRDefault="00C52422" w:rsidP="00922BC8">
      <w:pPr>
        <w:spacing w:before="120"/>
        <w:jc w:val="center"/>
        <w:rPr>
          <w:rFonts w:ascii="Arial" w:hAnsi="Arial" w:cs="Arial"/>
          <w:b/>
          <w:bCs/>
          <w:sz w:val="16"/>
          <w:szCs w:val="16"/>
          <w:lang w:eastAsia="ja-JP"/>
        </w:rPr>
      </w:pPr>
      <w:r w:rsidRPr="005A4DB1">
        <w:rPr>
          <w:rFonts w:ascii="Arial" w:hAnsi="Arial" w:cs="Arial"/>
          <w:b/>
          <w:bCs/>
          <w:sz w:val="16"/>
          <w:szCs w:val="16"/>
          <w:lang w:eastAsia="ja-JP"/>
        </w:rPr>
        <w:t xml:space="preserve">Тест-система для определения </w:t>
      </w:r>
      <w:r w:rsidR="00D13FEF" w:rsidRPr="005A4DB1">
        <w:rPr>
          <w:rFonts w:ascii="Arial" w:hAnsi="Arial" w:cs="Arial"/>
          <w:b/>
          <w:bCs/>
          <w:sz w:val="16"/>
          <w:szCs w:val="16"/>
          <w:lang w:eastAsia="ja-JP"/>
        </w:rPr>
        <w:t xml:space="preserve">высокочувствительного </w:t>
      </w:r>
      <w:r w:rsidRPr="005A4DB1">
        <w:rPr>
          <w:rFonts w:ascii="Arial" w:hAnsi="Arial" w:cs="Arial"/>
          <w:b/>
          <w:bCs/>
          <w:sz w:val="16"/>
          <w:szCs w:val="16"/>
          <w:lang w:eastAsia="ja-JP"/>
        </w:rPr>
        <w:t xml:space="preserve">Тропонина </w:t>
      </w:r>
      <w:r w:rsidRPr="005A4DB1">
        <w:rPr>
          <w:rFonts w:ascii="Arial" w:hAnsi="Arial" w:cs="Arial"/>
          <w:b/>
          <w:bCs/>
          <w:sz w:val="16"/>
          <w:szCs w:val="16"/>
          <w:lang w:val="en-US" w:eastAsia="ja-JP"/>
        </w:rPr>
        <w:t>I</w:t>
      </w:r>
      <w:r w:rsidR="006C1C89" w:rsidRPr="005A4DB1">
        <w:rPr>
          <w:rFonts w:ascii="Arial" w:hAnsi="Arial" w:cs="Arial"/>
          <w:b/>
          <w:bCs/>
          <w:sz w:val="16"/>
          <w:szCs w:val="16"/>
          <w:lang w:eastAsia="ja-JP"/>
        </w:rPr>
        <w:t xml:space="preserve"> PATHFAST  </w:t>
      </w:r>
    </w:p>
    <w:p w:rsidR="002E31B4" w:rsidRPr="005A4DB1" w:rsidRDefault="00C52422" w:rsidP="00922BC8">
      <w:pPr>
        <w:spacing w:before="120"/>
        <w:jc w:val="center"/>
        <w:rPr>
          <w:rFonts w:ascii="Arial" w:hAnsi="Arial" w:cs="Arial"/>
          <w:b/>
          <w:bCs/>
          <w:sz w:val="16"/>
          <w:szCs w:val="16"/>
          <w:lang w:eastAsia="ja-JP"/>
        </w:rPr>
      </w:pPr>
      <w:r w:rsidRPr="005A4DB1">
        <w:rPr>
          <w:rFonts w:ascii="Arial" w:hAnsi="Arial" w:cs="Arial"/>
          <w:b/>
          <w:bCs/>
          <w:sz w:val="16"/>
          <w:szCs w:val="16"/>
          <w:lang w:eastAsia="ja-JP"/>
        </w:rPr>
        <w:t>(</w:t>
      </w:r>
      <w:r w:rsidR="002E31B4" w:rsidRPr="005A4DB1">
        <w:rPr>
          <w:rFonts w:ascii="Arial" w:hAnsi="Arial" w:cs="Arial"/>
          <w:b/>
          <w:bCs/>
          <w:sz w:val="16"/>
          <w:szCs w:val="16"/>
          <w:lang w:val="pt-BR" w:eastAsia="ja-JP"/>
        </w:rPr>
        <w:t>PATHFAST</w:t>
      </w:r>
      <w:r w:rsidR="00F538F2" w:rsidRPr="005A4DB1">
        <w:rPr>
          <w:b/>
          <w:bCs/>
          <w:sz w:val="16"/>
          <w:szCs w:val="16"/>
          <w:lang w:eastAsia="ja-JP"/>
        </w:rPr>
        <w:t>™</w:t>
      </w:r>
      <w:r w:rsidR="002E31B4" w:rsidRPr="005A4DB1">
        <w:rPr>
          <w:rFonts w:ascii="Arial" w:hAnsi="Arial" w:cs="Arial"/>
          <w:b/>
          <w:bCs/>
          <w:sz w:val="16"/>
          <w:szCs w:val="16"/>
          <w:lang w:eastAsia="ja-JP"/>
        </w:rPr>
        <w:t xml:space="preserve"> </w:t>
      </w:r>
      <w:r w:rsidR="00DF34DC" w:rsidRPr="005A4DB1">
        <w:rPr>
          <w:rFonts w:ascii="Arial" w:hAnsi="Arial" w:cs="Arial"/>
          <w:b/>
          <w:bCs/>
          <w:sz w:val="16"/>
          <w:szCs w:val="16"/>
          <w:lang w:val="pt-BR" w:eastAsia="ja-JP"/>
        </w:rPr>
        <w:t>cTnI</w:t>
      </w:r>
      <w:r w:rsidRPr="005A4DB1">
        <w:rPr>
          <w:rFonts w:ascii="Arial" w:hAnsi="Arial" w:cs="Arial"/>
          <w:b/>
          <w:bCs/>
          <w:sz w:val="16"/>
          <w:szCs w:val="16"/>
          <w:lang w:eastAsia="ja-JP"/>
        </w:rPr>
        <w:t>)</w:t>
      </w:r>
    </w:p>
    <w:p w:rsidR="002E31B4" w:rsidRPr="005A4DB1" w:rsidRDefault="002E31B4" w:rsidP="00922BC8">
      <w:pPr>
        <w:jc w:val="center"/>
        <w:rPr>
          <w:rFonts w:ascii="Arial" w:hAnsi="Arial" w:cs="Arial"/>
          <w:b/>
          <w:bCs/>
          <w:sz w:val="16"/>
          <w:szCs w:val="16"/>
          <w:lang w:eastAsia="ja-JP"/>
        </w:rPr>
      </w:pPr>
      <w:r w:rsidRPr="005A4DB1">
        <w:rPr>
          <w:rFonts w:ascii="Arial" w:hAnsi="Arial" w:cs="Arial"/>
          <w:b/>
          <w:bCs/>
          <w:sz w:val="16"/>
          <w:szCs w:val="16"/>
          <w:lang w:eastAsia="ja-JP"/>
        </w:rPr>
        <w:t xml:space="preserve">60 </w:t>
      </w:r>
      <w:r w:rsidR="001136B5" w:rsidRPr="005A4DB1">
        <w:rPr>
          <w:rFonts w:ascii="Arial" w:hAnsi="Arial" w:cs="Arial"/>
          <w:b/>
          <w:bCs/>
          <w:sz w:val="16"/>
          <w:szCs w:val="16"/>
          <w:lang w:eastAsia="ja-JP"/>
        </w:rPr>
        <w:t xml:space="preserve">определений </w:t>
      </w:r>
    </w:p>
    <w:p w:rsidR="006A5E94" w:rsidRPr="006A5E94" w:rsidRDefault="006A5E94" w:rsidP="006A5E94">
      <w:pPr>
        <w:spacing w:before="120"/>
        <w:jc w:val="both"/>
        <w:rPr>
          <w:i/>
          <w:iCs/>
          <w:sz w:val="22"/>
          <w:szCs w:val="22"/>
          <w:lang w:eastAsia="ja-JP"/>
        </w:rPr>
      </w:pPr>
      <w:r w:rsidRPr="006A5E94">
        <w:rPr>
          <w:i/>
          <w:iCs/>
          <w:sz w:val="22"/>
          <w:szCs w:val="22"/>
          <w:lang w:eastAsia="ja-JP"/>
        </w:rPr>
        <w:t>Предназначение</w:t>
      </w:r>
    </w:p>
    <w:p w:rsidR="006A5E94" w:rsidRPr="006A5E94" w:rsidRDefault="006A5E94" w:rsidP="006A5E94">
      <w:pPr>
        <w:jc w:val="both"/>
        <w:rPr>
          <w:sz w:val="22"/>
          <w:szCs w:val="22"/>
        </w:rPr>
      </w:pPr>
      <w:r w:rsidRPr="006A5E94">
        <w:rPr>
          <w:sz w:val="22"/>
          <w:szCs w:val="22"/>
          <w:lang w:eastAsia="ja-JP"/>
        </w:rPr>
        <w:t>Реагент для определения высокочувствительного Тропонина I PATHFAST (</w:t>
      </w:r>
      <w:r w:rsidRPr="006A5E94">
        <w:rPr>
          <w:sz w:val="22"/>
          <w:szCs w:val="22"/>
          <w:lang w:val="en-US" w:eastAsia="ja-JP"/>
        </w:rPr>
        <w:t>PATHFAST</w:t>
      </w:r>
      <w:r w:rsidRPr="006A5E94">
        <w:rPr>
          <w:sz w:val="22"/>
          <w:szCs w:val="22"/>
          <w:lang w:eastAsia="ja-JP"/>
        </w:rPr>
        <w:t xml:space="preserve"> cTnI) является иммунологическим тестом </w:t>
      </w:r>
      <w:r w:rsidRPr="006A5E94">
        <w:rPr>
          <w:sz w:val="22"/>
          <w:szCs w:val="22"/>
        </w:rPr>
        <w:t xml:space="preserve">для in vitro </w:t>
      </w:r>
      <w:r w:rsidRPr="006A5E94">
        <w:rPr>
          <w:sz w:val="22"/>
          <w:szCs w:val="22"/>
          <w:lang w:eastAsia="ja-JP"/>
        </w:rPr>
        <w:t xml:space="preserve">количественного определения концентрации сердечного тропонина </w:t>
      </w:r>
      <w:r w:rsidRPr="006A5E94">
        <w:rPr>
          <w:sz w:val="22"/>
          <w:szCs w:val="22"/>
          <w:lang w:val="en-US" w:eastAsia="ja-JP"/>
        </w:rPr>
        <w:t>I</w:t>
      </w:r>
      <w:r w:rsidRPr="006A5E94">
        <w:rPr>
          <w:sz w:val="22"/>
          <w:szCs w:val="22"/>
          <w:lang w:eastAsia="ja-JP"/>
        </w:rPr>
        <w:t xml:space="preserve"> (сTnI) </w:t>
      </w:r>
      <w:r w:rsidRPr="006A5E94">
        <w:rPr>
          <w:sz w:val="22"/>
          <w:szCs w:val="22"/>
        </w:rPr>
        <w:t>в человеческой цельной крови и плазме с антикоагулянтами</w:t>
      </w:r>
      <w:r w:rsidRPr="006A5E94">
        <w:rPr>
          <w:sz w:val="22"/>
          <w:szCs w:val="22"/>
          <w:lang w:eastAsia="ja-JP"/>
        </w:rPr>
        <w:t xml:space="preserve"> </w:t>
      </w:r>
      <w:r w:rsidRPr="006A5E94">
        <w:rPr>
          <w:sz w:val="22"/>
          <w:szCs w:val="22"/>
        </w:rPr>
        <w:t xml:space="preserve">на анализаторе </w:t>
      </w:r>
      <w:r w:rsidRPr="006A5E94">
        <w:rPr>
          <w:sz w:val="22"/>
          <w:szCs w:val="22"/>
          <w:lang w:val="en-US" w:eastAsia="ja-JP"/>
        </w:rPr>
        <w:t>PATHFAST</w:t>
      </w:r>
      <w:r w:rsidRPr="006A5E94">
        <w:rPr>
          <w:sz w:val="22"/>
          <w:szCs w:val="22"/>
          <w:lang w:eastAsia="ja-JP"/>
        </w:rPr>
        <w:t xml:space="preserve">. </w:t>
      </w:r>
      <w:r w:rsidRPr="006A5E94">
        <w:rPr>
          <w:sz w:val="22"/>
          <w:szCs w:val="22"/>
          <w:lang w:val="en-US" w:eastAsia="ja-JP"/>
        </w:rPr>
        <w:t>PATHFAST</w:t>
      </w:r>
      <w:r w:rsidRPr="006A5E94">
        <w:rPr>
          <w:sz w:val="22"/>
          <w:szCs w:val="22"/>
          <w:lang w:eastAsia="ja-JP"/>
        </w:rPr>
        <w:t xml:space="preserve"> cTnI</w:t>
      </w:r>
      <w:r w:rsidRPr="006A5E94">
        <w:rPr>
          <w:sz w:val="22"/>
          <w:szCs w:val="22"/>
        </w:rPr>
        <w:t xml:space="preserve"> может использоваться для помощи в диагностике острого инфаркта миокарда (ОИМ) и для стратификации риска смертности пациентов с острым коронарным синдромом.</w:t>
      </w:r>
    </w:p>
    <w:p w:rsidR="006A5E94" w:rsidRPr="006A5E94" w:rsidRDefault="006A5E94" w:rsidP="006A5E94">
      <w:pPr>
        <w:spacing w:before="120"/>
        <w:jc w:val="both"/>
        <w:rPr>
          <w:i/>
          <w:iCs/>
          <w:sz w:val="22"/>
          <w:szCs w:val="22"/>
          <w:lang w:eastAsia="ja-JP"/>
        </w:rPr>
      </w:pPr>
      <w:r w:rsidRPr="006A5E94">
        <w:rPr>
          <w:i/>
          <w:iCs/>
          <w:sz w:val="22"/>
          <w:szCs w:val="22"/>
          <w:lang w:eastAsia="ja-JP"/>
        </w:rPr>
        <w:t>Описание</w:t>
      </w:r>
    </w:p>
    <w:p w:rsidR="006A5E94" w:rsidRPr="006A5E94" w:rsidRDefault="006A5E94" w:rsidP="006A5E94">
      <w:pPr>
        <w:jc w:val="both"/>
        <w:rPr>
          <w:sz w:val="22"/>
          <w:szCs w:val="22"/>
        </w:rPr>
      </w:pPr>
      <w:r w:rsidRPr="006A5E94">
        <w:rPr>
          <w:sz w:val="22"/>
          <w:szCs w:val="22"/>
        </w:rPr>
        <w:t xml:space="preserve">Сердечный тропонин I (cTnI) вместе с тропонином T </w:t>
      </w:r>
      <w:r w:rsidRPr="006A5E94">
        <w:rPr>
          <w:sz w:val="22"/>
          <w:szCs w:val="22"/>
          <w:lang w:eastAsia="ja-JP"/>
        </w:rPr>
        <w:t>(</w:t>
      </w:r>
      <w:r w:rsidRPr="006A5E94">
        <w:rPr>
          <w:sz w:val="22"/>
          <w:szCs w:val="22"/>
          <w:lang w:val="en-US" w:eastAsia="ja-JP"/>
        </w:rPr>
        <w:t>TnT</w:t>
      </w:r>
      <w:r w:rsidRPr="006A5E94">
        <w:rPr>
          <w:sz w:val="22"/>
          <w:szCs w:val="22"/>
          <w:lang w:eastAsia="ja-JP"/>
        </w:rPr>
        <w:t xml:space="preserve">) </w:t>
      </w:r>
      <w:r w:rsidRPr="006A5E94">
        <w:rPr>
          <w:sz w:val="22"/>
          <w:szCs w:val="22"/>
        </w:rPr>
        <w:t xml:space="preserve">и тропонином С </w:t>
      </w:r>
      <w:r w:rsidRPr="006A5E94">
        <w:rPr>
          <w:sz w:val="22"/>
          <w:szCs w:val="22"/>
          <w:lang w:eastAsia="ja-JP"/>
        </w:rPr>
        <w:t>(</w:t>
      </w:r>
      <w:r w:rsidRPr="006A5E94">
        <w:rPr>
          <w:sz w:val="22"/>
          <w:szCs w:val="22"/>
          <w:lang w:val="en-US" w:eastAsia="ja-JP"/>
        </w:rPr>
        <w:t>TnC</w:t>
      </w:r>
      <w:r w:rsidRPr="006A5E94">
        <w:rPr>
          <w:sz w:val="22"/>
          <w:szCs w:val="22"/>
          <w:lang w:eastAsia="ja-JP"/>
        </w:rPr>
        <w:t>)</w:t>
      </w:r>
      <w:r w:rsidRPr="006A5E94">
        <w:rPr>
          <w:sz w:val="22"/>
          <w:szCs w:val="22"/>
        </w:rPr>
        <w:t xml:space="preserve"> формирует тропониновый комплекс, который играет основную роль в передаче внутриклеточного кальциевого сигнала при взаимодействии актина и миозина (1). cTnI является сердечным мышечным белком с молекулярной массой 22500 дальтон, который локализуется исключительно в миокарде и отличается от </w:t>
      </w:r>
      <w:r w:rsidRPr="006A5E94">
        <w:rPr>
          <w:sz w:val="22"/>
          <w:szCs w:val="22"/>
          <w:lang w:val="en-US"/>
        </w:rPr>
        <w:t>TnI</w:t>
      </w:r>
      <w:r w:rsidRPr="006A5E94">
        <w:rPr>
          <w:sz w:val="22"/>
          <w:szCs w:val="22"/>
        </w:rPr>
        <w:t xml:space="preserve"> из скелетных мышц (2). </w:t>
      </w:r>
      <w:r w:rsidRPr="006A5E94">
        <w:rPr>
          <w:sz w:val="22"/>
          <w:szCs w:val="22"/>
          <w:lang w:val="en-US"/>
        </w:rPr>
        <w:t>cTnI</w:t>
      </w:r>
      <w:r w:rsidRPr="006A5E94">
        <w:rPr>
          <w:sz w:val="22"/>
          <w:szCs w:val="22"/>
        </w:rPr>
        <w:t xml:space="preserve"> – кардиоспецифичный и чувствительный маркер повреждения сердечной мышцы. Он быстро высвобождается в кровь после начала ОИМ и остается повышенным в течение нескольких дней после этого (3). В отличие от инфаркта миокарда с подъемом ST-сегмента (STEMI) диагностика инфаркта миокарда без подъема ST-сегмента (NSTEMI) в основном основана на уровне сердечного тропонина (4, 5). Согласно Универсальному определению инфаркта миокарда </w:t>
      </w:r>
      <w:r w:rsidRPr="006A5E94">
        <w:rPr>
          <w:sz w:val="22"/>
          <w:szCs w:val="22"/>
          <w:lang w:val="en-US"/>
        </w:rPr>
        <w:t>STEMI</w:t>
      </w:r>
      <w:r w:rsidRPr="006A5E94">
        <w:rPr>
          <w:sz w:val="22"/>
          <w:szCs w:val="22"/>
        </w:rPr>
        <w:t xml:space="preserve"> или </w:t>
      </w:r>
      <w:r w:rsidRPr="006A5E94">
        <w:rPr>
          <w:sz w:val="22"/>
          <w:szCs w:val="22"/>
          <w:lang w:val="en-US"/>
        </w:rPr>
        <w:t>NSTEMI</w:t>
      </w:r>
      <w:r w:rsidRPr="006A5E94">
        <w:rPr>
          <w:sz w:val="22"/>
          <w:szCs w:val="22"/>
        </w:rPr>
        <w:t xml:space="preserve"> диагностируются, если концентрация </w:t>
      </w:r>
      <w:r w:rsidRPr="006A5E94">
        <w:rPr>
          <w:sz w:val="22"/>
          <w:szCs w:val="22"/>
          <w:lang w:val="en-US"/>
        </w:rPr>
        <w:t>cTn</w:t>
      </w:r>
      <w:r w:rsidRPr="006A5E94">
        <w:rPr>
          <w:sz w:val="22"/>
          <w:szCs w:val="22"/>
        </w:rPr>
        <w:t xml:space="preserve"> превышает 99-ый процентиль верхнего референтного уровня (</w:t>
      </w:r>
      <w:r w:rsidRPr="006A5E94">
        <w:rPr>
          <w:sz w:val="22"/>
          <w:szCs w:val="22"/>
          <w:lang w:val="en-US"/>
        </w:rPr>
        <w:t>upper</w:t>
      </w:r>
      <w:r w:rsidRPr="006A5E94">
        <w:rPr>
          <w:sz w:val="22"/>
          <w:szCs w:val="22"/>
        </w:rPr>
        <w:t xml:space="preserve"> </w:t>
      </w:r>
      <w:r w:rsidRPr="006A5E94">
        <w:rPr>
          <w:sz w:val="22"/>
          <w:szCs w:val="22"/>
          <w:lang w:val="en-US"/>
        </w:rPr>
        <w:t>reference</w:t>
      </w:r>
      <w:r w:rsidRPr="006A5E94">
        <w:rPr>
          <w:sz w:val="22"/>
          <w:szCs w:val="22"/>
        </w:rPr>
        <w:t xml:space="preserve"> </w:t>
      </w:r>
      <w:r w:rsidRPr="006A5E94">
        <w:rPr>
          <w:sz w:val="22"/>
          <w:szCs w:val="22"/>
          <w:lang w:val="en-US"/>
        </w:rPr>
        <w:t>limit</w:t>
      </w:r>
      <w:r w:rsidRPr="006A5E94">
        <w:rPr>
          <w:sz w:val="22"/>
          <w:szCs w:val="22"/>
        </w:rPr>
        <w:t xml:space="preserve">, или </w:t>
      </w:r>
      <w:r w:rsidRPr="006A5E94">
        <w:rPr>
          <w:sz w:val="22"/>
          <w:szCs w:val="22"/>
          <w:lang w:val="en-US"/>
        </w:rPr>
        <w:t>URL</w:t>
      </w:r>
      <w:r w:rsidRPr="006A5E94">
        <w:rPr>
          <w:sz w:val="22"/>
          <w:szCs w:val="22"/>
        </w:rPr>
        <w:t xml:space="preserve">) при симптомах ишемии миокарда. При этом требуемая точность определения – не выше 10% коэффициента вариации результатов для 99-й процентили. Согласно новым рекомендациям по диагностике и лечению острых коронарных синдромов без подъема ST-сегмента сердечный тропонин является предпочтительным маркером повреждения миокарда (6). </w:t>
      </w:r>
      <w:r w:rsidRPr="006A5E94">
        <w:rPr>
          <w:sz w:val="22"/>
          <w:szCs w:val="22"/>
          <w:lang w:val="en-US"/>
        </w:rPr>
        <w:t>cTnI</w:t>
      </w:r>
      <w:r w:rsidRPr="006A5E94">
        <w:rPr>
          <w:sz w:val="22"/>
          <w:szCs w:val="22"/>
        </w:rPr>
        <w:t xml:space="preserve"> – независимый прогностический маркер, предсказывающий исход у пациентов с острыми коронарными синдромами (7-9). кроме того, клинические исследования показали, что </w:t>
      </w:r>
      <w:r w:rsidRPr="006A5E94">
        <w:rPr>
          <w:sz w:val="22"/>
          <w:szCs w:val="22"/>
          <w:lang w:val="en-US"/>
        </w:rPr>
        <w:t>cTnI</w:t>
      </w:r>
      <w:r w:rsidRPr="006A5E94">
        <w:rPr>
          <w:sz w:val="22"/>
          <w:szCs w:val="22"/>
        </w:rPr>
        <w:t xml:space="preserve"> полезен для выявления пациентов, которые поддаются терапии GPIIb/IIIa ингибиторов (10). cTnI в низких концентрациях полезен для оценки рисков у пациентов со стабильной стенокардией (11).</w:t>
      </w:r>
    </w:p>
    <w:p w:rsidR="006A5E94" w:rsidRPr="006A5E94" w:rsidRDefault="006A5E94" w:rsidP="006A5E94">
      <w:pPr>
        <w:spacing w:before="120"/>
        <w:jc w:val="both"/>
        <w:rPr>
          <w:i/>
          <w:iCs/>
          <w:sz w:val="22"/>
          <w:szCs w:val="22"/>
          <w:lang w:eastAsia="ja-JP"/>
        </w:rPr>
      </w:pPr>
      <w:r w:rsidRPr="006A5E94">
        <w:rPr>
          <w:i/>
          <w:iCs/>
          <w:sz w:val="22"/>
          <w:szCs w:val="22"/>
          <w:lang w:eastAsia="ja-JP"/>
        </w:rPr>
        <w:t>Принцип анализа</w:t>
      </w:r>
    </w:p>
    <w:p w:rsidR="006A5E94" w:rsidRPr="006A5E94" w:rsidRDefault="006A5E94" w:rsidP="006A5E94">
      <w:pPr>
        <w:jc w:val="both"/>
        <w:rPr>
          <w:sz w:val="22"/>
          <w:szCs w:val="22"/>
        </w:rPr>
      </w:pPr>
      <w:r w:rsidRPr="006A5E94">
        <w:rPr>
          <w:sz w:val="22"/>
          <w:szCs w:val="22"/>
          <w:lang w:eastAsia="ja-JP"/>
        </w:rPr>
        <w:t xml:space="preserve">Анализ основан на принципе </w:t>
      </w:r>
      <w:r w:rsidRPr="006A5E94">
        <w:rPr>
          <w:sz w:val="22"/>
          <w:szCs w:val="22"/>
        </w:rPr>
        <w:t xml:space="preserve">хемилюминесцентного иммунологического анализа (CLEIA) </w:t>
      </w:r>
      <w:r w:rsidRPr="006A5E94">
        <w:rPr>
          <w:sz w:val="22"/>
          <w:szCs w:val="22"/>
          <w:lang w:eastAsia="ja-JP"/>
        </w:rPr>
        <w:t xml:space="preserve">с использованием технологии </w:t>
      </w:r>
      <w:r w:rsidRPr="006A5E94">
        <w:rPr>
          <w:sz w:val="22"/>
          <w:szCs w:val="22"/>
          <w:lang w:val="en-US" w:eastAsia="ja-JP"/>
        </w:rPr>
        <w:t>MAGTRATION</w:t>
      </w:r>
      <w:r w:rsidRPr="006A5E94">
        <w:rPr>
          <w:sz w:val="22"/>
          <w:szCs w:val="22"/>
          <w:lang w:eastAsia="ja-JP"/>
        </w:rPr>
        <w:t xml:space="preserve">®*. </w:t>
      </w:r>
      <w:r w:rsidRPr="006A5E94">
        <w:rPr>
          <w:sz w:val="22"/>
          <w:szCs w:val="22"/>
        </w:rPr>
        <w:t>Меченые щелочной фосфатазой анти-</w:t>
      </w:r>
      <w:r w:rsidRPr="006A5E94">
        <w:rPr>
          <w:sz w:val="22"/>
          <w:szCs w:val="22"/>
          <w:lang w:eastAsia="ja-JP"/>
        </w:rPr>
        <w:t>cTnI</w:t>
      </w:r>
      <w:r w:rsidRPr="006A5E94">
        <w:rPr>
          <w:sz w:val="22"/>
          <w:szCs w:val="22"/>
        </w:rPr>
        <w:t xml:space="preserve"> моноклональные антитела и анти-</w:t>
      </w:r>
      <w:r w:rsidRPr="006A5E94">
        <w:rPr>
          <w:sz w:val="22"/>
          <w:szCs w:val="22"/>
          <w:lang w:eastAsia="ja-JP"/>
        </w:rPr>
        <w:t>cTnI</w:t>
      </w:r>
      <w:r w:rsidRPr="006A5E94">
        <w:rPr>
          <w:sz w:val="22"/>
          <w:szCs w:val="22"/>
        </w:rPr>
        <w:t xml:space="preserve"> моноклональные антитела, покрывающие магнитные частицы смешиваются с пробой. </w:t>
      </w:r>
      <w:r w:rsidRPr="006A5E94">
        <w:rPr>
          <w:sz w:val="22"/>
          <w:szCs w:val="22"/>
          <w:lang w:eastAsia="ja-JP"/>
        </w:rPr>
        <w:t>cTnI пробы</w:t>
      </w:r>
      <w:r w:rsidRPr="006A5E94">
        <w:rPr>
          <w:sz w:val="22"/>
          <w:szCs w:val="22"/>
        </w:rPr>
        <w:t xml:space="preserve"> связывается с антителами к </w:t>
      </w:r>
      <w:r w:rsidRPr="006A5E94">
        <w:rPr>
          <w:sz w:val="22"/>
          <w:szCs w:val="22"/>
          <w:lang w:eastAsia="ja-JP"/>
        </w:rPr>
        <w:t xml:space="preserve">cTnI, </w:t>
      </w:r>
      <w:r w:rsidRPr="006A5E94">
        <w:rPr>
          <w:sz w:val="22"/>
          <w:szCs w:val="22"/>
        </w:rPr>
        <w:t xml:space="preserve">образуя иммунный комплекс с мечеными ферментом антителами и антителами на магнитных частицах. После удаления несвязавшихся меченных ферментом антител добавляется хемилюминесцентный субстрат. Интенсивность измеренной люминесценции зависит от концентрации </w:t>
      </w:r>
      <w:r w:rsidRPr="006A5E94">
        <w:rPr>
          <w:sz w:val="22"/>
          <w:szCs w:val="22"/>
          <w:lang w:eastAsia="ja-JP"/>
        </w:rPr>
        <w:t>сTnI</w:t>
      </w:r>
      <w:r w:rsidRPr="006A5E94">
        <w:rPr>
          <w:sz w:val="22"/>
          <w:szCs w:val="22"/>
        </w:rPr>
        <w:t xml:space="preserve"> в пробе. Концентрация </w:t>
      </w:r>
      <w:r w:rsidRPr="006A5E94">
        <w:rPr>
          <w:sz w:val="22"/>
          <w:szCs w:val="22"/>
          <w:lang w:eastAsia="ja-JP"/>
        </w:rPr>
        <w:t xml:space="preserve">cTnI </w:t>
      </w:r>
      <w:r w:rsidRPr="006A5E94">
        <w:rPr>
          <w:sz w:val="22"/>
          <w:szCs w:val="22"/>
        </w:rPr>
        <w:t xml:space="preserve">рассчитывается по стандартной калибровочной кривой. Концентрация </w:t>
      </w:r>
      <w:r w:rsidRPr="006A5E94">
        <w:rPr>
          <w:sz w:val="22"/>
          <w:szCs w:val="22"/>
          <w:lang w:val="en-US"/>
        </w:rPr>
        <w:t>cTnI</w:t>
      </w:r>
      <w:r w:rsidRPr="006A5E94">
        <w:rPr>
          <w:sz w:val="22"/>
          <w:szCs w:val="22"/>
        </w:rPr>
        <w:t xml:space="preserve"> может быть определена на анализаторе </w:t>
      </w:r>
      <w:r w:rsidRPr="006A5E94">
        <w:rPr>
          <w:sz w:val="22"/>
          <w:szCs w:val="22"/>
          <w:lang w:val="en-US"/>
        </w:rPr>
        <w:t>PATHFAST</w:t>
      </w:r>
      <w:r w:rsidRPr="006A5E94">
        <w:rPr>
          <w:sz w:val="22"/>
          <w:szCs w:val="22"/>
        </w:rPr>
        <w:t xml:space="preserve"> в течение 17 мин.</w:t>
      </w:r>
    </w:p>
    <w:p w:rsidR="006A5E94" w:rsidRPr="006A5E94" w:rsidRDefault="006A5E94" w:rsidP="006A5E94">
      <w:pPr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</w:rPr>
        <w:t>*</w:t>
      </w:r>
      <w:r w:rsidRPr="006A5E94">
        <w:rPr>
          <w:sz w:val="22"/>
          <w:szCs w:val="22"/>
          <w:lang w:val="en-US" w:eastAsia="ja-JP"/>
        </w:rPr>
        <w:t>MAGTRATION</w:t>
      </w:r>
      <w:r w:rsidRPr="006A5E94">
        <w:rPr>
          <w:sz w:val="22"/>
          <w:szCs w:val="22"/>
          <w:lang w:eastAsia="ja-JP"/>
        </w:rPr>
        <w:t xml:space="preserve">® - технология разделения </w:t>
      </w:r>
      <w:r w:rsidRPr="006A5E94">
        <w:rPr>
          <w:sz w:val="22"/>
          <w:szCs w:val="22"/>
          <w:lang w:val="en-US" w:eastAsia="ja-JP"/>
        </w:rPr>
        <w:t>B</w:t>
      </w:r>
      <w:r w:rsidRPr="006A5E94">
        <w:rPr>
          <w:sz w:val="22"/>
          <w:szCs w:val="22"/>
          <w:lang w:eastAsia="ja-JP"/>
        </w:rPr>
        <w:t>/</w:t>
      </w:r>
      <w:r w:rsidRPr="006A5E94">
        <w:rPr>
          <w:sz w:val="22"/>
          <w:szCs w:val="22"/>
          <w:lang w:val="en-US" w:eastAsia="ja-JP"/>
        </w:rPr>
        <w:t>F</w:t>
      </w:r>
      <w:r w:rsidRPr="006A5E94">
        <w:rPr>
          <w:sz w:val="22"/>
          <w:szCs w:val="22"/>
          <w:lang w:eastAsia="ja-JP"/>
        </w:rPr>
        <w:t xml:space="preserve"> (связанного/свободного материала) с промывкой магнитных частиц в наконечниках. Технология является зарегистрированной торговой маркой </w:t>
      </w:r>
      <w:r w:rsidRPr="006A5E94">
        <w:rPr>
          <w:sz w:val="22"/>
          <w:szCs w:val="22"/>
          <w:lang w:val="en-US" w:eastAsia="ja-JP"/>
        </w:rPr>
        <w:t>Precision</w:t>
      </w:r>
      <w:r w:rsidRPr="006A5E94">
        <w:rPr>
          <w:sz w:val="22"/>
          <w:szCs w:val="22"/>
          <w:lang w:eastAsia="ja-JP"/>
        </w:rPr>
        <w:t xml:space="preserve"> </w:t>
      </w:r>
      <w:r w:rsidRPr="006A5E94">
        <w:rPr>
          <w:sz w:val="22"/>
          <w:szCs w:val="22"/>
          <w:lang w:val="en-US" w:eastAsia="ja-JP"/>
        </w:rPr>
        <w:t>System</w:t>
      </w:r>
      <w:r w:rsidRPr="006A5E94">
        <w:rPr>
          <w:sz w:val="22"/>
          <w:szCs w:val="22"/>
          <w:lang w:eastAsia="ja-JP"/>
        </w:rPr>
        <w:t xml:space="preserve"> </w:t>
      </w:r>
      <w:r w:rsidRPr="006A5E94">
        <w:rPr>
          <w:sz w:val="22"/>
          <w:szCs w:val="22"/>
          <w:lang w:val="en-US" w:eastAsia="ja-JP"/>
        </w:rPr>
        <w:t>Science</w:t>
      </w:r>
      <w:r w:rsidRPr="006A5E94">
        <w:rPr>
          <w:sz w:val="22"/>
          <w:szCs w:val="22"/>
          <w:lang w:eastAsia="ja-JP"/>
        </w:rPr>
        <w:t>.</w:t>
      </w:r>
    </w:p>
    <w:p w:rsidR="006A5E94" w:rsidRPr="006A5E94" w:rsidRDefault="006A5E94" w:rsidP="006A5E94">
      <w:pPr>
        <w:spacing w:before="120"/>
        <w:jc w:val="both"/>
        <w:rPr>
          <w:i/>
          <w:iCs/>
          <w:sz w:val="22"/>
          <w:szCs w:val="22"/>
          <w:lang w:eastAsia="ja-JP"/>
        </w:rPr>
      </w:pPr>
      <w:r w:rsidRPr="006A5E94">
        <w:rPr>
          <w:i/>
          <w:iCs/>
          <w:sz w:val="22"/>
          <w:szCs w:val="22"/>
          <w:lang w:eastAsia="ja-JP"/>
        </w:rPr>
        <w:t>Содержимое упаковки</w:t>
      </w:r>
    </w:p>
    <w:p w:rsidR="006A5E94" w:rsidRPr="006A5E94" w:rsidRDefault="006A5E94" w:rsidP="006A5E94">
      <w:pPr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>1. Картриджи с реагентами: 6 картриджей х 10 упаковок.</w:t>
      </w:r>
    </w:p>
    <w:p w:rsidR="006A5E94" w:rsidRPr="006A5E94" w:rsidRDefault="006A5E94" w:rsidP="006A5E94">
      <w:pPr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 xml:space="preserve">Каждый картридж с реагентами </w:t>
      </w:r>
      <w:r w:rsidRPr="006A5E94">
        <w:rPr>
          <w:sz w:val="22"/>
          <w:szCs w:val="22"/>
        </w:rPr>
        <w:t xml:space="preserve">состоит из 16 </w:t>
      </w:r>
      <w:r w:rsidRPr="006A5E94">
        <w:rPr>
          <w:sz w:val="22"/>
          <w:szCs w:val="22"/>
          <w:lang w:eastAsia="ja-JP"/>
        </w:rPr>
        <w:t xml:space="preserve">лунок, содержащих все необходимые для проведения анализа компоненты. Все лунки, кроме лунки для пробы (№1) и счетной лунки (№10), запечатаны </w:t>
      </w:r>
      <w:r w:rsidRPr="006A5E94">
        <w:rPr>
          <w:sz w:val="22"/>
          <w:szCs w:val="22"/>
        </w:rPr>
        <w:t>алюминиевой фольгой со штрих-кодом с полной информацией, необходимой для корректного проведения тестирования</w:t>
      </w:r>
      <w:r w:rsidRPr="006A5E94">
        <w:rPr>
          <w:sz w:val="22"/>
          <w:szCs w:val="22"/>
          <w:lang w:eastAsia="ja-JP"/>
        </w:rPr>
        <w:t xml:space="preserve">. </w:t>
      </w:r>
    </w:p>
    <w:p w:rsidR="006A5E94" w:rsidRPr="006A5E94" w:rsidRDefault="006A5E94" w:rsidP="006A5E94">
      <w:pPr>
        <w:jc w:val="both"/>
        <w:rPr>
          <w:sz w:val="22"/>
          <w:szCs w:val="22"/>
          <w:lang w:eastAsia="ja-JP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4680"/>
        <w:gridCol w:w="1080"/>
        <w:gridCol w:w="2160"/>
      </w:tblGrid>
      <w:tr w:rsidR="006A5E94" w:rsidRPr="006A5E94" w:rsidTr="00F7403F">
        <w:tc>
          <w:tcPr>
            <w:tcW w:w="900" w:type="dxa"/>
          </w:tcPr>
          <w:p w:rsidR="006A5E94" w:rsidRPr="006A5E94" w:rsidRDefault="006A5E94" w:rsidP="00F7403F">
            <w:pPr>
              <w:ind w:left="-12" w:right="-108"/>
              <w:jc w:val="both"/>
              <w:rPr>
                <w:sz w:val="20"/>
                <w:szCs w:val="20"/>
                <w:lang w:eastAsia="ja-JP"/>
              </w:rPr>
            </w:pPr>
            <w:r w:rsidRPr="006A5E94">
              <w:rPr>
                <w:sz w:val="20"/>
                <w:szCs w:val="20"/>
                <w:lang w:eastAsia="ja-JP"/>
              </w:rPr>
              <w:t>Лунка</w:t>
            </w:r>
          </w:p>
        </w:tc>
        <w:tc>
          <w:tcPr>
            <w:tcW w:w="900" w:type="dxa"/>
          </w:tcPr>
          <w:p w:rsidR="006A5E94" w:rsidRPr="006A5E94" w:rsidRDefault="006A5E94" w:rsidP="00F7403F">
            <w:pPr>
              <w:ind w:left="-108" w:right="-108"/>
              <w:jc w:val="both"/>
              <w:rPr>
                <w:sz w:val="20"/>
                <w:szCs w:val="20"/>
                <w:lang w:eastAsia="ja-JP"/>
              </w:rPr>
            </w:pPr>
            <w:r w:rsidRPr="006A5E94">
              <w:rPr>
                <w:sz w:val="20"/>
                <w:szCs w:val="20"/>
                <w:lang w:eastAsia="ja-JP"/>
              </w:rPr>
              <w:t>Форма</w:t>
            </w:r>
          </w:p>
        </w:tc>
        <w:tc>
          <w:tcPr>
            <w:tcW w:w="4680" w:type="dxa"/>
          </w:tcPr>
          <w:p w:rsidR="006A5E94" w:rsidRPr="006A5E94" w:rsidRDefault="006A5E94" w:rsidP="00F7403F">
            <w:pPr>
              <w:jc w:val="both"/>
              <w:rPr>
                <w:sz w:val="20"/>
                <w:szCs w:val="20"/>
                <w:lang w:eastAsia="ja-JP"/>
              </w:rPr>
            </w:pPr>
            <w:r w:rsidRPr="006A5E94">
              <w:rPr>
                <w:sz w:val="20"/>
                <w:szCs w:val="20"/>
                <w:lang w:eastAsia="ja-JP"/>
              </w:rPr>
              <w:t>Ингридиенты</w:t>
            </w:r>
          </w:p>
        </w:tc>
        <w:tc>
          <w:tcPr>
            <w:tcW w:w="1080" w:type="dxa"/>
          </w:tcPr>
          <w:p w:rsidR="006A5E94" w:rsidRPr="006A5E94" w:rsidRDefault="006A5E94" w:rsidP="00F7403F">
            <w:pPr>
              <w:jc w:val="both"/>
              <w:rPr>
                <w:sz w:val="20"/>
                <w:szCs w:val="20"/>
                <w:lang w:eastAsia="ja-JP"/>
              </w:rPr>
            </w:pPr>
            <w:r w:rsidRPr="006A5E94">
              <w:rPr>
                <w:sz w:val="20"/>
                <w:szCs w:val="20"/>
                <w:lang w:eastAsia="ja-JP"/>
              </w:rPr>
              <w:t>Кол-во</w:t>
            </w:r>
          </w:p>
        </w:tc>
        <w:tc>
          <w:tcPr>
            <w:tcW w:w="2160" w:type="dxa"/>
          </w:tcPr>
          <w:p w:rsidR="006A5E94" w:rsidRPr="006A5E94" w:rsidRDefault="006A5E94" w:rsidP="00F7403F">
            <w:pPr>
              <w:jc w:val="both"/>
              <w:rPr>
                <w:sz w:val="20"/>
                <w:szCs w:val="20"/>
                <w:lang w:eastAsia="ja-JP"/>
              </w:rPr>
            </w:pPr>
            <w:r w:rsidRPr="006A5E94">
              <w:rPr>
                <w:sz w:val="20"/>
                <w:szCs w:val="20"/>
                <w:lang w:eastAsia="ja-JP"/>
              </w:rPr>
              <w:t>Источник</w:t>
            </w:r>
          </w:p>
        </w:tc>
      </w:tr>
      <w:tr w:rsidR="006A5E94" w:rsidRPr="006A5E94" w:rsidTr="00F7403F">
        <w:tc>
          <w:tcPr>
            <w:tcW w:w="900" w:type="dxa"/>
          </w:tcPr>
          <w:p w:rsidR="006A5E94" w:rsidRPr="006A5E94" w:rsidRDefault="006A5E94" w:rsidP="00F7403F">
            <w:pPr>
              <w:ind w:left="-12" w:right="-108"/>
              <w:rPr>
                <w:sz w:val="20"/>
                <w:szCs w:val="20"/>
                <w:lang w:eastAsia="ja-JP"/>
              </w:rPr>
            </w:pPr>
            <w:r w:rsidRPr="006A5E94">
              <w:rPr>
                <w:sz w:val="20"/>
                <w:szCs w:val="20"/>
                <w:lang w:eastAsia="ja-JP"/>
              </w:rPr>
              <w:t>№2</w:t>
            </w:r>
          </w:p>
        </w:tc>
        <w:tc>
          <w:tcPr>
            <w:tcW w:w="900" w:type="dxa"/>
          </w:tcPr>
          <w:p w:rsidR="006A5E94" w:rsidRPr="006A5E94" w:rsidRDefault="006A5E94" w:rsidP="00F7403F">
            <w:pPr>
              <w:ind w:left="-108" w:right="-108"/>
              <w:rPr>
                <w:sz w:val="20"/>
                <w:szCs w:val="20"/>
                <w:lang w:eastAsia="ja-JP"/>
              </w:rPr>
            </w:pPr>
            <w:r w:rsidRPr="006A5E94">
              <w:rPr>
                <w:sz w:val="20"/>
                <w:szCs w:val="20"/>
                <w:lang w:eastAsia="ja-JP"/>
              </w:rPr>
              <w:t>Жидкая</w:t>
            </w:r>
          </w:p>
        </w:tc>
        <w:tc>
          <w:tcPr>
            <w:tcW w:w="4680" w:type="dxa"/>
          </w:tcPr>
          <w:p w:rsidR="006A5E94" w:rsidRPr="006A5E94" w:rsidRDefault="006A5E94" w:rsidP="00F7403F">
            <w:pPr>
              <w:ind w:left="-108"/>
              <w:rPr>
                <w:sz w:val="20"/>
                <w:szCs w:val="20"/>
                <w:lang w:eastAsia="ja-JP"/>
              </w:rPr>
            </w:pPr>
            <w:r w:rsidRPr="006A5E94">
              <w:rPr>
                <w:sz w:val="20"/>
                <w:szCs w:val="20"/>
                <w:lang w:eastAsia="ja-JP"/>
              </w:rPr>
              <w:t>Щелочная фосфатаза,</w:t>
            </w:r>
          </w:p>
          <w:p w:rsidR="006A5E94" w:rsidRPr="006A5E94" w:rsidRDefault="006A5E94" w:rsidP="00F7403F">
            <w:pPr>
              <w:ind w:left="-108"/>
              <w:rPr>
                <w:sz w:val="20"/>
                <w:szCs w:val="20"/>
                <w:lang w:eastAsia="ja-JP"/>
              </w:rPr>
            </w:pPr>
            <w:r w:rsidRPr="006A5E94">
              <w:rPr>
                <w:sz w:val="20"/>
                <w:szCs w:val="20"/>
                <w:lang w:eastAsia="ja-JP"/>
              </w:rPr>
              <w:t xml:space="preserve">конъюгированная с анти-cTnI </w:t>
            </w:r>
            <w:r w:rsidRPr="006A5E94">
              <w:rPr>
                <w:sz w:val="20"/>
                <w:szCs w:val="20"/>
                <w:lang w:val="en-US" w:eastAsia="ja-JP"/>
              </w:rPr>
              <w:t>MoAb</w:t>
            </w:r>
            <w:r w:rsidRPr="006A5E94">
              <w:rPr>
                <w:sz w:val="20"/>
                <w:szCs w:val="20"/>
                <w:lang w:eastAsia="ja-JP"/>
              </w:rPr>
              <w:t xml:space="preserve">* </w:t>
            </w:r>
            <w:r w:rsidRPr="006A5E94">
              <w:rPr>
                <w:sz w:val="20"/>
                <w:szCs w:val="20"/>
              </w:rPr>
              <w:t>в</w:t>
            </w:r>
          </w:p>
          <w:p w:rsidR="006A5E94" w:rsidRPr="006A5E94" w:rsidRDefault="006A5E94" w:rsidP="00F7403F">
            <w:pPr>
              <w:ind w:left="-108" w:right="-108"/>
              <w:rPr>
                <w:sz w:val="20"/>
                <w:szCs w:val="20"/>
                <w:lang w:eastAsia="ja-JP"/>
              </w:rPr>
            </w:pPr>
            <w:r w:rsidRPr="006A5E94">
              <w:rPr>
                <w:sz w:val="20"/>
                <w:szCs w:val="20"/>
                <w:lang w:val="en-US" w:eastAsia="ja-JP"/>
              </w:rPr>
              <w:t>M</w:t>
            </w:r>
            <w:r w:rsidRPr="006A5E94">
              <w:rPr>
                <w:sz w:val="20"/>
                <w:szCs w:val="20"/>
                <w:lang w:eastAsia="ja-JP"/>
              </w:rPr>
              <w:t>Е</w:t>
            </w:r>
            <w:r w:rsidRPr="006A5E94">
              <w:rPr>
                <w:sz w:val="20"/>
                <w:szCs w:val="20"/>
                <w:lang w:val="en-US" w:eastAsia="ja-JP"/>
              </w:rPr>
              <w:t>S</w:t>
            </w:r>
            <w:r w:rsidRPr="006A5E94">
              <w:rPr>
                <w:sz w:val="20"/>
                <w:szCs w:val="20"/>
                <w:lang w:eastAsia="ja-JP"/>
              </w:rPr>
              <w:t xml:space="preserve">** буфере </w:t>
            </w:r>
          </w:p>
          <w:p w:rsidR="006A5E94" w:rsidRPr="006A5E94" w:rsidRDefault="006A5E94" w:rsidP="00F7403F">
            <w:pPr>
              <w:ind w:left="-108" w:right="-108"/>
              <w:rPr>
                <w:sz w:val="20"/>
                <w:szCs w:val="20"/>
                <w:lang w:eastAsia="ja-JP"/>
              </w:rPr>
            </w:pPr>
            <w:r w:rsidRPr="006A5E94">
              <w:rPr>
                <w:sz w:val="20"/>
                <w:szCs w:val="20"/>
                <w:lang w:eastAsia="ja-JP"/>
              </w:rPr>
              <w:t>Натрия азид</w:t>
            </w:r>
          </w:p>
        </w:tc>
        <w:tc>
          <w:tcPr>
            <w:tcW w:w="1080" w:type="dxa"/>
          </w:tcPr>
          <w:p w:rsidR="006A5E94" w:rsidRPr="006A5E94" w:rsidRDefault="006A5E94" w:rsidP="00F7403F">
            <w:pPr>
              <w:rPr>
                <w:sz w:val="20"/>
                <w:szCs w:val="20"/>
                <w:lang w:eastAsia="ja-JP"/>
              </w:rPr>
            </w:pPr>
            <w:r w:rsidRPr="006A5E94">
              <w:rPr>
                <w:sz w:val="20"/>
                <w:szCs w:val="20"/>
                <w:lang w:val="en-US" w:eastAsia="ja-JP"/>
              </w:rPr>
              <w:t>50</w:t>
            </w:r>
            <w:r w:rsidRPr="006A5E94">
              <w:rPr>
                <w:sz w:val="20"/>
                <w:szCs w:val="20"/>
                <w:lang w:eastAsia="ja-JP"/>
              </w:rPr>
              <w:t xml:space="preserve"> мкл</w:t>
            </w:r>
          </w:p>
          <w:p w:rsidR="006A5E94" w:rsidRPr="006A5E94" w:rsidRDefault="006A5E94" w:rsidP="00F7403F">
            <w:pPr>
              <w:ind w:left="-108" w:right="-52"/>
              <w:jc w:val="center"/>
              <w:rPr>
                <w:sz w:val="20"/>
                <w:szCs w:val="20"/>
                <w:lang w:eastAsia="ja-JP"/>
              </w:rPr>
            </w:pPr>
          </w:p>
          <w:p w:rsidR="006A5E94" w:rsidRPr="006A5E94" w:rsidRDefault="006A5E94" w:rsidP="00F7403F">
            <w:pPr>
              <w:ind w:left="-108" w:right="-52"/>
              <w:jc w:val="center"/>
              <w:rPr>
                <w:sz w:val="20"/>
                <w:szCs w:val="20"/>
                <w:lang w:eastAsia="ja-JP"/>
              </w:rPr>
            </w:pPr>
          </w:p>
          <w:p w:rsidR="006A5E94" w:rsidRPr="006A5E94" w:rsidRDefault="006A5E94" w:rsidP="00F7403F">
            <w:pPr>
              <w:ind w:left="-108" w:right="-52"/>
              <w:jc w:val="center"/>
              <w:rPr>
                <w:sz w:val="20"/>
                <w:szCs w:val="20"/>
                <w:lang w:eastAsia="ja-JP"/>
              </w:rPr>
            </w:pPr>
            <w:r w:rsidRPr="006A5E94">
              <w:rPr>
                <w:sz w:val="20"/>
                <w:szCs w:val="20"/>
                <w:lang w:val="en-US" w:eastAsia="ja-JP"/>
              </w:rPr>
              <w:t>&lt; 0</w:t>
            </w:r>
            <w:r w:rsidRPr="006A5E94">
              <w:rPr>
                <w:sz w:val="20"/>
                <w:szCs w:val="20"/>
                <w:lang w:eastAsia="ja-JP"/>
              </w:rPr>
              <w:t>,</w:t>
            </w:r>
            <w:r w:rsidRPr="006A5E94">
              <w:rPr>
                <w:sz w:val="20"/>
                <w:szCs w:val="20"/>
                <w:lang w:val="en-US" w:eastAsia="ja-JP"/>
              </w:rPr>
              <w:t>1%</w:t>
            </w:r>
          </w:p>
        </w:tc>
        <w:tc>
          <w:tcPr>
            <w:tcW w:w="2160" w:type="dxa"/>
          </w:tcPr>
          <w:p w:rsidR="006A5E94" w:rsidRPr="006A5E94" w:rsidRDefault="006A5E94" w:rsidP="00F7403F">
            <w:pPr>
              <w:ind w:right="-108"/>
              <w:rPr>
                <w:sz w:val="20"/>
                <w:szCs w:val="20"/>
                <w:lang w:eastAsia="ja-JP"/>
              </w:rPr>
            </w:pPr>
            <w:r w:rsidRPr="006A5E94">
              <w:rPr>
                <w:sz w:val="20"/>
                <w:szCs w:val="20"/>
                <w:lang w:eastAsia="ja-JP"/>
              </w:rPr>
              <w:t>Кишечник теленка</w:t>
            </w:r>
          </w:p>
          <w:p w:rsidR="006A5E94" w:rsidRPr="006A5E94" w:rsidRDefault="006A5E94" w:rsidP="00F7403F">
            <w:pPr>
              <w:ind w:right="-108"/>
              <w:rPr>
                <w:sz w:val="20"/>
                <w:szCs w:val="20"/>
                <w:lang w:eastAsia="ja-JP"/>
              </w:rPr>
            </w:pPr>
            <w:r w:rsidRPr="006A5E94">
              <w:rPr>
                <w:sz w:val="20"/>
                <w:szCs w:val="20"/>
                <w:lang w:eastAsia="ja-JP"/>
              </w:rPr>
              <w:t>Мышь</w:t>
            </w:r>
          </w:p>
        </w:tc>
      </w:tr>
      <w:tr w:rsidR="006A5E94" w:rsidRPr="006A5E94" w:rsidTr="00F7403F">
        <w:tc>
          <w:tcPr>
            <w:tcW w:w="900" w:type="dxa"/>
          </w:tcPr>
          <w:p w:rsidR="006A5E94" w:rsidRPr="006A5E94" w:rsidRDefault="006A5E94" w:rsidP="00F7403F">
            <w:pPr>
              <w:ind w:left="-12" w:right="-108"/>
              <w:rPr>
                <w:sz w:val="20"/>
                <w:szCs w:val="20"/>
                <w:lang w:val="en-US" w:eastAsia="ja-JP"/>
              </w:rPr>
            </w:pPr>
            <w:r w:rsidRPr="006A5E94">
              <w:rPr>
                <w:sz w:val="20"/>
                <w:szCs w:val="20"/>
                <w:lang w:eastAsia="ja-JP"/>
              </w:rPr>
              <w:t>№</w:t>
            </w:r>
            <w:r w:rsidRPr="006A5E94">
              <w:rPr>
                <w:sz w:val="20"/>
                <w:szCs w:val="20"/>
                <w:lang w:val="en-US" w:eastAsia="ja-JP"/>
              </w:rPr>
              <w:t>7</w:t>
            </w:r>
          </w:p>
        </w:tc>
        <w:tc>
          <w:tcPr>
            <w:tcW w:w="900" w:type="dxa"/>
          </w:tcPr>
          <w:p w:rsidR="006A5E94" w:rsidRPr="006A5E94" w:rsidRDefault="006A5E94" w:rsidP="00F7403F">
            <w:pPr>
              <w:ind w:left="-108" w:right="-108"/>
              <w:rPr>
                <w:sz w:val="20"/>
                <w:szCs w:val="20"/>
                <w:lang w:val="en-US" w:eastAsia="ja-JP"/>
              </w:rPr>
            </w:pPr>
            <w:r w:rsidRPr="006A5E94">
              <w:rPr>
                <w:sz w:val="20"/>
                <w:szCs w:val="20"/>
                <w:lang w:eastAsia="ja-JP"/>
              </w:rPr>
              <w:t>Жидкая</w:t>
            </w:r>
          </w:p>
        </w:tc>
        <w:tc>
          <w:tcPr>
            <w:tcW w:w="4680" w:type="dxa"/>
          </w:tcPr>
          <w:p w:rsidR="006A5E94" w:rsidRPr="006A5E94" w:rsidRDefault="006A5E94" w:rsidP="00F7403F">
            <w:pPr>
              <w:ind w:left="-108" w:right="-108"/>
              <w:rPr>
                <w:sz w:val="20"/>
                <w:szCs w:val="20"/>
                <w:lang w:eastAsia="ja-JP"/>
              </w:rPr>
            </w:pPr>
            <w:r w:rsidRPr="006A5E94">
              <w:rPr>
                <w:sz w:val="20"/>
                <w:szCs w:val="20"/>
                <w:lang w:eastAsia="ja-JP"/>
              </w:rPr>
              <w:t xml:space="preserve">анти-cTnI </w:t>
            </w:r>
            <w:r w:rsidRPr="006A5E94">
              <w:rPr>
                <w:sz w:val="20"/>
                <w:szCs w:val="20"/>
                <w:lang w:val="en-US" w:eastAsia="ja-JP"/>
              </w:rPr>
              <w:t>MoAb</w:t>
            </w:r>
            <w:r w:rsidRPr="006A5E94">
              <w:rPr>
                <w:sz w:val="20"/>
                <w:szCs w:val="20"/>
                <w:lang w:eastAsia="ja-JP"/>
              </w:rPr>
              <w:t>*</w:t>
            </w:r>
          </w:p>
          <w:p w:rsidR="006A5E94" w:rsidRPr="006A5E94" w:rsidRDefault="006A5E94" w:rsidP="00F7403F">
            <w:pPr>
              <w:ind w:left="-108" w:right="-108"/>
              <w:rPr>
                <w:sz w:val="20"/>
                <w:szCs w:val="20"/>
                <w:lang w:eastAsia="ja-JP"/>
              </w:rPr>
            </w:pPr>
            <w:r w:rsidRPr="006A5E94">
              <w:rPr>
                <w:sz w:val="20"/>
                <w:szCs w:val="20"/>
                <w:lang w:eastAsia="ja-JP"/>
              </w:rPr>
              <w:t xml:space="preserve">на магнитных частицах </w:t>
            </w:r>
          </w:p>
        </w:tc>
        <w:tc>
          <w:tcPr>
            <w:tcW w:w="1080" w:type="dxa"/>
          </w:tcPr>
          <w:p w:rsidR="006A5E94" w:rsidRPr="006A5E94" w:rsidRDefault="006A5E94" w:rsidP="00F7403F">
            <w:pPr>
              <w:rPr>
                <w:sz w:val="20"/>
                <w:szCs w:val="20"/>
                <w:lang w:val="en-US" w:eastAsia="ja-JP"/>
              </w:rPr>
            </w:pPr>
            <w:r w:rsidRPr="006A5E94">
              <w:rPr>
                <w:sz w:val="20"/>
                <w:szCs w:val="20"/>
                <w:lang w:val="en-US" w:eastAsia="ja-JP"/>
              </w:rPr>
              <w:t>50</w:t>
            </w:r>
            <w:r w:rsidRPr="006A5E94">
              <w:rPr>
                <w:sz w:val="20"/>
                <w:szCs w:val="20"/>
                <w:lang w:eastAsia="ja-JP"/>
              </w:rPr>
              <w:t xml:space="preserve"> мкл</w:t>
            </w:r>
          </w:p>
        </w:tc>
        <w:tc>
          <w:tcPr>
            <w:tcW w:w="2160" w:type="dxa"/>
          </w:tcPr>
          <w:p w:rsidR="006A5E94" w:rsidRPr="006A5E94" w:rsidRDefault="006A5E94" w:rsidP="00F7403F">
            <w:pPr>
              <w:ind w:right="-108"/>
              <w:rPr>
                <w:sz w:val="20"/>
                <w:szCs w:val="20"/>
                <w:lang w:val="en-US" w:eastAsia="ja-JP"/>
              </w:rPr>
            </w:pPr>
            <w:r w:rsidRPr="006A5E94">
              <w:rPr>
                <w:sz w:val="20"/>
                <w:szCs w:val="20"/>
                <w:lang w:eastAsia="ja-JP"/>
              </w:rPr>
              <w:t>Мышь</w:t>
            </w:r>
          </w:p>
        </w:tc>
      </w:tr>
      <w:tr w:rsidR="006A5E94" w:rsidRPr="006A5E94" w:rsidTr="00F7403F">
        <w:tc>
          <w:tcPr>
            <w:tcW w:w="900" w:type="dxa"/>
          </w:tcPr>
          <w:p w:rsidR="006A5E94" w:rsidRPr="006A5E94" w:rsidRDefault="006A5E94" w:rsidP="00F7403F">
            <w:pPr>
              <w:ind w:left="-12" w:right="-108"/>
              <w:jc w:val="both"/>
              <w:rPr>
                <w:sz w:val="20"/>
                <w:szCs w:val="20"/>
                <w:lang w:val="en-US" w:eastAsia="ja-JP"/>
              </w:rPr>
            </w:pPr>
            <w:r w:rsidRPr="006A5E94">
              <w:rPr>
                <w:sz w:val="20"/>
                <w:szCs w:val="20"/>
                <w:lang w:eastAsia="ja-JP"/>
              </w:rPr>
              <w:t>№</w:t>
            </w:r>
            <w:r w:rsidRPr="006A5E94">
              <w:rPr>
                <w:sz w:val="20"/>
                <w:szCs w:val="20"/>
                <w:lang w:val="en-US" w:eastAsia="ja-JP"/>
              </w:rPr>
              <w:t>13</w:t>
            </w:r>
          </w:p>
        </w:tc>
        <w:tc>
          <w:tcPr>
            <w:tcW w:w="900" w:type="dxa"/>
          </w:tcPr>
          <w:p w:rsidR="006A5E94" w:rsidRPr="006A5E94" w:rsidRDefault="006A5E94" w:rsidP="00F7403F">
            <w:pPr>
              <w:ind w:left="-108" w:right="-108"/>
              <w:jc w:val="both"/>
              <w:rPr>
                <w:sz w:val="20"/>
                <w:szCs w:val="20"/>
                <w:lang w:val="en-US" w:eastAsia="ja-JP"/>
              </w:rPr>
            </w:pPr>
            <w:r w:rsidRPr="006A5E94">
              <w:rPr>
                <w:sz w:val="20"/>
                <w:szCs w:val="20"/>
                <w:lang w:eastAsia="ja-JP"/>
              </w:rPr>
              <w:t>Жидкая</w:t>
            </w:r>
          </w:p>
        </w:tc>
        <w:tc>
          <w:tcPr>
            <w:tcW w:w="4680" w:type="dxa"/>
          </w:tcPr>
          <w:p w:rsidR="006A5E94" w:rsidRPr="006A5E94" w:rsidRDefault="006A5E94" w:rsidP="00F7403F">
            <w:pPr>
              <w:ind w:left="-108" w:right="-108"/>
              <w:jc w:val="both"/>
              <w:rPr>
                <w:sz w:val="20"/>
                <w:szCs w:val="20"/>
                <w:lang w:val="en-US" w:eastAsia="ja-JP"/>
              </w:rPr>
            </w:pPr>
            <w:r w:rsidRPr="006A5E94">
              <w:rPr>
                <w:sz w:val="20"/>
                <w:szCs w:val="20"/>
                <w:lang w:eastAsia="ja-JP"/>
              </w:rPr>
              <w:t xml:space="preserve">Хемилюминесцентный субстрат </w:t>
            </w:r>
            <w:r w:rsidRPr="006A5E94">
              <w:rPr>
                <w:sz w:val="20"/>
                <w:szCs w:val="20"/>
                <w:lang w:val="en-US" w:eastAsia="ja-JP"/>
              </w:rPr>
              <w:t>CDP-Star®</w:t>
            </w:r>
          </w:p>
        </w:tc>
        <w:tc>
          <w:tcPr>
            <w:tcW w:w="1080" w:type="dxa"/>
          </w:tcPr>
          <w:p w:rsidR="006A5E94" w:rsidRPr="006A5E94" w:rsidRDefault="006A5E94" w:rsidP="00F7403F">
            <w:pPr>
              <w:ind w:left="-108" w:right="-52"/>
              <w:jc w:val="both"/>
              <w:rPr>
                <w:sz w:val="20"/>
                <w:szCs w:val="20"/>
                <w:lang w:val="en-US" w:eastAsia="ja-JP"/>
              </w:rPr>
            </w:pPr>
            <w:r w:rsidRPr="006A5E94">
              <w:rPr>
                <w:sz w:val="20"/>
                <w:szCs w:val="20"/>
                <w:lang w:val="en-US" w:eastAsia="ja-JP"/>
              </w:rPr>
              <w:t>100</w:t>
            </w:r>
            <w:r w:rsidRPr="006A5E94">
              <w:rPr>
                <w:sz w:val="20"/>
                <w:szCs w:val="20"/>
                <w:lang w:eastAsia="ja-JP"/>
              </w:rPr>
              <w:t xml:space="preserve"> мкл</w:t>
            </w:r>
          </w:p>
        </w:tc>
        <w:tc>
          <w:tcPr>
            <w:tcW w:w="2160" w:type="dxa"/>
          </w:tcPr>
          <w:p w:rsidR="006A5E94" w:rsidRPr="006A5E94" w:rsidRDefault="006A5E94" w:rsidP="00F7403F">
            <w:pPr>
              <w:ind w:right="-108"/>
              <w:jc w:val="both"/>
              <w:rPr>
                <w:sz w:val="20"/>
                <w:szCs w:val="20"/>
                <w:lang w:val="en-US" w:eastAsia="ja-JP"/>
              </w:rPr>
            </w:pPr>
          </w:p>
        </w:tc>
      </w:tr>
      <w:tr w:rsidR="006A5E94" w:rsidRPr="006A5E94" w:rsidTr="00F7403F">
        <w:tc>
          <w:tcPr>
            <w:tcW w:w="900" w:type="dxa"/>
          </w:tcPr>
          <w:p w:rsidR="006A5E94" w:rsidRPr="006A5E94" w:rsidRDefault="006A5E94" w:rsidP="00F7403F">
            <w:pPr>
              <w:ind w:left="-12" w:right="-108"/>
              <w:jc w:val="both"/>
              <w:rPr>
                <w:sz w:val="20"/>
                <w:szCs w:val="20"/>
                <w:lang w:val="en-US" w:eastAsia="ja-JP"/>
              </w:rPr>
            </w:pPr>
            <w:r w:rsidRPr="006A5E94">
              <w:rPr>
                <w:sz w:val="20"/>
                <w:szCs w:val="20"/>
                <w:lang w:eastAsia="ja-JP"/>
              </w:rPr>
              <w:t>№</w:t>
            </w:r>
            <w:r w:rsidRPr="006A5E94">
              <w:rPr>
                <w:sz w:val="20"/>
                <w:szCs w:val="20"/>
                <w:lang w:val="en-US" w:eastAsia="ja-JP"/>
              </w:rPr>
              <w:t>11</w:t>
            </w:r>
          </w:p>
        </w:tc>
        <w:tc>
          <w:tcPr>
            <w:tcW w:w="900" w:type="dxa"/>
          </w:tcPr>
          <w:p w:rsidR="006A5E94" w:rsidRPr="006A5E94" w:rsidRDefault="006A5E94" w:rsidP="00F7403F">
            <w:pPr>
              <w:ind w:left="-108" w:right="-108"/>
              <w:jc w:val="both"/>
              <w:rPr>
                <w:sz w:val="20"/>
                <w:szCs w:val="20"/>
                <w:lang w:val="en-US" w:eastAsia="ja-JP"/>
              </w:rPr>
            </w:pPr>
            <w:r w:rsidRPr="006A5E94">
              <w:rPr>
                <w:sz w:val="20"/>
                <w:szCs w:val="20"/>
                <w:lang w:eastAsia="ja-JP"/>
              </w:rPr>
              <w:t>Жидкая</w:t>
            </w:r>
          </w:p>
        </w:tc>
        <w:tc>
          <w:tcPr>
            <w:tcW w:w="4680" w:type="dxa"/>
          </w:tcPr>
          <w:p w:rsidR="006A5E94" w:rsidRPr="006A5E94" w:rsidRDefault="006A5E94" w:rsidP="00F7403F">
            <w:pPr>
              <w:ind w:left="-108" w:right="-108"/>
              <w:rPr>
                <w:sz w:val="20"/>
                <w:szCs w:val="20"/>
                <w:lang w:eastAsia="ja-JP"/>
              </w:rPr>
            </w:pPr>
            <w:r w:rsidRPr="006A5E94">
              <w:rPr>
                <w:sz w:val="20"/>
                <w:szCs w:val="20"/>
                <w:lang w:eastAsia="ja-JP"/>
              </w:rPr>
              <w:t>Буфер для разведения проб:</w:t>
            </w:r>
          </w:p>
          <w:p w:rsidR="006A5E94" w:rsidRPr="006A5E94" w:rsidRDefault="006A5E94" w:rsidP="00F7403F">
            <w:pPr>
              <w:ind w:left="-108" w:right="-108"/>
              <w:jc w:val="both"/>
              <w:rPr>
                <w:sz w:val="20"/>
                <w:szCs w:val="20"/>
                <w:lang w:eastAsia="ja-JP"/>
              </w:rPr>
            </w:pPr>
            <w:r w:rsidRPr="006A5E94">
              <w:rPr>
                <w:sz w:val="20"/>
                <w:szCs w:val="20"/>
                <w:lang w:eastAsia="ja-JP"/>
              </w:rPr>
              <w:t>Трис-буфер</w:t>
            </w:r>
          </w:p>
          <w:p w:rsidR="006A5E94" w:rsidRPr="006A5E94" w:rsidRDefault="006A5E94" w:rsidP="00F7403F">
            <w:pPr>
              <w:ind w:left="-108" w:right="-108"/>
              <w:jc w:val="both"/>
              <w:rPr>
                <w:sz w:val="20"/>
                <w:szCs w:val="20"/>
                <w:lang w:eastAsia="ja-JP"/>
              </w:rPr>
            </w:pPr>
            <w:r w:rsidRPr="006A5E94">
              <w:rPr>
                <w:sz w:val="20"/>
                <w:szCs w:val="20"/>
                <w:lang w:eastAsia="ja-JP"/>
              </w:rPr>
              <w:t>Натрия азид</w:t>
            </w:r>
          </w:p>
        </w:tc>
        <w:tc>
          <w:tcPr>
            <w:tcW w:w="1080" w:type="dxa"/>
          </w:tcPr>
          <w:p w:rsidR="006A5E94" w:rsidRPr="006A5E94" w:rsidRDefault="006A5E94" w:rsidP="00F7403F">
            <w:pPr>
              <w:jc w:val="both"/>
              <w:rPr>
                <w:sz w:val="20"/>
                <w:szCs w:val="20"/>
                <w:lang w:eastAsia="ja-JP"/>
              </w:rPr>
            </w:pPr>
            <w:r w:rsidRPr="006A5E94">
              <w:rPr>
                <w:sz w:val="20"/>
                <w:szCs w:val="20"/>
                <w:lang w:val="fr-FR" w:eastAsia="ja-JP"/>
              </w:rPr>
              <w:t>50</w:t>
            </w:r>
            <w:r w:rsidRPr="006A5E94">
              <w:rPr>
                <w:sz w:val="20"/>
                <w:szCs w:val="20"/>
                <w:lang w:eastAsia="ja-JP"/>
              </w:rPr>
              <w:t xml:space="preserve"> мкл</w:t>
            </w:r>
          </w:p>
          <w:p w:rsidR="006A5E94" w:rsidRPr="006A5E94" w:rsidRDefault="006A5E94" w:rsidP="00F7403F">
            <w:pPr>
              <w:ind w:left="-108" w:right="-52"/>
              <w:jc w:val="both"/>
              <w:rPr>
                <w:sz w:val="20"/>
                <w:szCs w:val="20"/>
                <w:lang w:eastAsia="ja-JP"/>
              </w:rPr>
            </w:pPr>
          </w:p>
          <w:p w:rsidR="006A5E94" w:rsidRPr="006A5E94" w:rsidRDefault="006A5E94" w:rsidP="00F7403F">
            <w:pPr>
              <w:ind w:left="-108" w:right="-52"/>
              <w:jc w:val="both"/>
              <w:rPr>
                <w:sz w:val="20"/>
                <w:szCs w:val="20"/>
                <w:lang w:val="en-US" w:eastAsia="ja-JP"/>
              </w:rPr>
            </w:pPr>
            <w:r w:rsidRPr="006A5E94">
              <w:rPr>
                <w:sz w:val="20"/>
                <w:szCs w:val="20"/>
                <w:lang w:val="en-US" w:eastAsia="ja-JP"/>
              </w:rPr>
              <w:t>&lt; 0</w:t>
            </w:r>
            <w:r w:rsidRPr="006A5E94">
              <w:rPr>
                <w:sz w:val="20"/>
                <w:szCs w:val="20"/>
                <w:lang w:eastAsia="ja-JP"/>
              </w:rPr>
              <w:t>,</w:t>
            </w:r>
            <w:r w:rsidRPr="006A5E94">
              <w:rPr>
                <w:sz w:val="20"/>
                <w:szCs w:val="20"/>
                <w:lang w:val="en-US" w:eastAsia="ja-JP"/>
              </w:rPr>
              <w:t>1%</w:t>
            </w:r>
          </w:p>
        </w:tc>
        <w:tc>
          <w:tcPr>
            <w:tcW w:w="2160" w:type="dxa"/>
          </w:tcPr>
          <w:p w:rsidR="006A5E94" w:rsidRPr="006A5E94" w:rsidRDefault="006A5E94" w:rsidP="00F7403F">
            <w:pPr>
              <w:ind w:right="-108"/>
              <w:jc w:val="both"/>
              <w:rPr>
                <w:sz w:val="20"/>
                <w:szCs w:val="20"/>
                <w:lang w:val="en-US" w:eastAsia="ja-JP"/>
              </w:rPr>
            </w:pPr>
          </w:p>
        </w:tc>
      </w:tr>
      <w:tr w:rsidR="006A5E94" w:rsidRPr="006A5E94" w:rsidTr="00F7403F">
        <w:tc>
          <w:tcPr>
            <w:tcW w:w="900" w:type="dxa"/>
          </w:tcPr>
          <w:p w:rsidR="006A5E94" w:rsidRPr="006A5E94" w:rsidRDefault="006A5E94" w:rsidP="00F7403F">
            <w:pPr>
              <w:ind w:left="-12" w:right="-108"/>
              <w:rPr>
                <w:sz w:val="20"/>
                <w:szCs w:val="20"/>
                <w:lang w:val="en-US" w:eastAsia="ja-JP"/>
              </w:rPr>
            </w:pPr>
            <w:r w:rsidRPr="006A5E94">
              <w:rPr>
                <w:sz w:val="20"/>
                <w:szCs w:val="20"/>
                <w:lang w:eastAsia="ja-JP"/>
              </w:rPr>
              <w:lastRenderedPageBreak/>
              <w:t>№</w:t>
            </w:r>
            <w:r w:rsidRPr="006A5E94">
              <w:rPr>
                <w:sz w:val="20"/>
                <w:szCs w:val="20"/>
                <w:lang w:val="en-US" w:eastAsia="ja-JP"/>
              </w:rPr>
              <w:t xml:space="preserve"> 3, 4,</w:t>
            </w:r>
            <w:r w:rsidRPr="006A5E94">
              <w:rPr>
                <w:sz w:val="20"/>
                <w:szCs w:val="20"/>
                <w:lang w:eastAsia="ja-JP"/>
              </w:rPr>
              <w:t xml:space="preserve"> </w:t>
            </w:r>
            <w:r w:rsidRPr="006A5E94">
              <w:rPr>
                <w:sz w:val="20"/>
                <w:szCs w:val="20"/>
                <w:lang w:val="en-US" w:eastAsia="ja-JP"/>
              </w:rPr>
              <w:t>5</w:t>
            </w:r>
          </w:p>
        </w:tc>
        <w:tc>
          <w:tcPr>
            <w:tcW w:w="900" w:type="dxa"/>
          </w:tcPr>
          <w:p w:rsidR="006A5E94" w:rsidRPr="006A5E94" w:rsidRDefault="006A5E94" w:rsidP="00F7403F">
            <w:pPr>
              <w:ind w:left="-108" w:right="-108"/>
              <w:jc w:val="both"/>
              <w:rPr>
                <w:sz w:val="20"/>
                <w:szCs w:val="20"/>
                <w:lang w:val="en-US" w:eastAsia="ja-JP"/>
              </w:rPr>
            </w:pPr>
            <w:r w:rsidRPr="006A5E94">
              <w:rPr>
                <w:sz w:val="20"/>
                <w:szCs w:val="20"/>
                <w:lang w:eastAsia="ja-JP"/>
              </w:rPr>
              <w:t>Жидкая</w:t>
            </w:r>
          </w:p>
        </w:tc>
        <w:tc>
          <w:tcPr>
            <w:tcW w:w="4680" w:type="dxa"/>
          </w:tcPr>
          <w:p w:rsidR="006A5E94" w:rsidRPr="006A5E94" w:rsidRDefault="006A5E94" w:rsidP="00F7403F">
            <w:pPr>
              <w:ind w:left="-108" w:right="-108"/>
              <w:jc w:val="both"/>
              <w:rPr>
                <w:sz w:val="20"/>
                <w:szCs w:val="20"/>
                <w:lang w:eastAsia="ja-JP"/>
              </w:rPr>
            </w:pPr>
            <w:r w:rsidRPr="006A5E94">
              <w:rPr>
                <w:sz w:val="20"/>
                <w:szCs w:val="20"/>
                <w:lang w:eastAsia="ja-JP"/>
              </w:rPr>
              <w:t>Промывочный буфер:</w:t>
            </w:r>
          </w:p>
          <w:p w:rsidR="006A5E94" w:rsidRPr="006A5E94" w:rsidRDefault="006A5E94" w:rsidP="00F7403F">
            <w:pPr>
              <w:ind w:left="-108" w:right="-108"/>
              <w:jc w:val="both"/>
              <w:rPr>
                <w:sz w:val="20"/>
                <w:szCs w:val="20"/>
                <w:lang w:eastAsia="ja-JP"/>
              </w:rPr>
            </w:pPr>
            <w:r w:rsidRPr="006A5E94">
              <w:rPr>
                <w:sz w:val="20"/>
                <w:szCs w:val="20"/>
                <w:lang w:val="en-US" w:eastAsia="ja-JP"/>
              </w:rPr>
              <w:t>MOPS</w:t>
            </w:r>
            <w:r w:rsidRPr="006A5E94">
              <w:rPr>
                <w:sz w:val="20"/>
                <w:szCs w:val="20"/>
                <w:lang w:eastAsia="ja-JP"/>
              </w:rPr>
              <w:t xml:space="preserve"> буфер</w:t>
            </w:r>
          </w:p>
          <w:p w:rsidR="006A5E94" w:rsidRPr="006A5E94" w:rsidRDefault="006A5E94" w:rsidP="00F7403F">
            <w:pPr>
              <w:ind w:left="-108" w:right="-108"/>
              <w:jc w:val="both"/>
              <w:rPr>
                <w:sz w:val="20"/>
                <w:szCs w:val="20"/>
                <w:lang w:eastAsia="ja-JP"/>
              </w:rPr>
            </w:pPr>
            <w:r w:rsidRPr="006A5E94">
              <w:rPr>
                <w:sz w:val="20"/>
                <w:szCs w:val="20"/>
                <w:lang w:eastAsia="ja-JP"/>
              </w:rPr>
              <w:t>Натрия азид</w:t>
            </w:r>
          </w:p>
        </w:tc>
        <w:tc>
          <w:tcPr>
            <w:tcW w:w="1080" w:type="dxa"/>
          </w:tcPr>
          <w:p w:rsidR="006A5E94" w:rsidRPr="006A5E94" w:rsidRDefault="006A5E94" w:rsidP="00F7403F">
            <w:pPr>
              <w:ind w:left="-8" w:right="-108" w:firstLine="8"/>
              <w:jc w:val="both"/>
              <w:rPr>
                <w:sz w:val="20"/>
                <w:szCs w:val="20"/>
                <w:lang w:val="en-US" w:eastAsia="ja-JP"/>
              </w:rPr>
            </w:pPr>
            <w:r w:rsidRPr="006A5E94">
              <w:rPr>
                <w:sz w:val="20"/>
                <w:szCs w:val="20"/>
                <w:lang w:val="en-US" w:eastAsia="ja-JP"/>
              </w:rPr>
              <w:t>400</w:t>
            </w:r>
            <w:r w:rsidRPr="006A5E94">
              <w:rPr>
                <w:sz w:val="20"/>
                <w:szCs w:val="20"/>
                <w:lang w:eastAsia="ja-JP"/>
              </w:rPr>
              <w:t xml:space="preserve"> мкл</w:t>
            </w:r>
          </w:p>
          <w:p w:rsidR="006A5E94" w:rsidRPr="006A5E94" w:rsidRDefault="006A5E94" w:rsidP="00F7403F">
            <w:pPr>
              <w:ind w:left="-108" w:right="-52"/>
              <w:jc w:val="both"/>
              <w:rPr>
                <w:sz w:val="20"/>
                <w:szCs w:val="20"/>
                <w:lang w:eastAsia="ja-JP"/>
              </w:rPr>
            </w:pPr>
          </w:p>
          <w:p w:rsidR="006A5E94" w:rsidRPr="006A5E94" w:rsidRDefault="006A5E94" w:rsidP="00F7403F">
            <w:pPr>
              <w:ind w:left="-108" w:right="-52"/>
              <w:jc w:val="both"/>
              <w:rPr>
                <w:sz w:val="20"/>
                <w:szCs w:val="20"/>
                <w:lang w:val="en-US" w:eastAsia="ja-JP"/>
              </w:rPr>
            </w:pPr>
            <w:r w:rsidRPr="006A5E94">
              <w:rPr>
                <w:sz w:val="20"/>
                <w:szCs w:val="20"/>
                <w:lang w:val="en-US" w:eastAsia="ja-JP"/>
              </w:rPr>
              <w:t>&lt; 0</w:t>
            </w:r>
            <w:r w:rsidRPr="006A5E94">
              <w:rPr>
                <w:sz w:val="20"/>
                <w:szCs w:val="20"/>
                <w:lang w:eastAsia="ja-JP"/>
              </w:rPr>
              <w:t>,</w:t>
            </w:r>
            <w:r w:rsidRPr="006A5E94">
              <w:rPr>
                <w:sz w:val="20"/>
                <w:szCs w:val="20"/>
                <w:lang w:val="en-US" w:eastAsia="ja-JP"/>
              </w:rPr>
              <w:t>1%</w:t>
            </w:r>
          </w:p>
        </w:tc>
        <w:tc>
          <w:tcPr>
            <w:tcW w:w="2160" w:type="dxa"/>
          </w:tcPr>
          <w:p w:rsidR="006A5E94" w:rsidRPr="006A5E94" w:rsidRDefault="006A5E94" w:rsidP="00F7403F">
            <w:pPr>
              <w:jc w:val="both"/>
              <w:rPr>
                <w:sz w:val="20"/>
                <w:szCs w:val="20"/>
                <w:lang w:val="en-US" w:eastAsia="ja-JP"/>
              </w:rPr>
            </w:pPr>
          </w:p>
        </w:tc>
      </w:tr>
    </w:tbl>
    <w:p w:rsidR="006A5E94" w:rsidRPr="006A5E94" w:rsidRDefault="006A5E94" w:rsidP="006A5E94">
      <w:pPr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>*</w:t>
      </w:r>
      <w:r w:rsidRPr="006A5E94">
        <w:rPr>
          <w:sz w:val="22"/>
          <w:szCs w:val="22"/>
          <w:lang w:val="en-US" w:eastAsia="ja-JP"/>
        </w:rPr>
        <w:t>MoAb</w:t>
      </w:r>
      <w:r w:rsidRPr="006A5E94">
        <w:rPr>
          <w:sz w:val="22"/>
          <w:szCs w:val="22"/>
          <w:lang w:eastAsia="ja-JP"/>
        </w:rPr>
        <w:t xml:space="preserve"> - моноклональные антитела </w:t>
      </w:r>
    </w:p>
    <w:p w:rsidR="006A5E94" w:rsidRPr="006A5E94" w:rsidRDefault="006A5E94" w:rsidP="006A5E94">
      <w:pPr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>** MES - 2- морфолинэтансульфоновая кислота, моногидрат</w:t>
      </w:r>
    </w:p>
    <w:p w:rsidR="006A5E94" w:rsidRPr="006A5E94" w:rsidRDefault="006A5E94" w:rsidP="006A5E94">
      <w:pPr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>***MOPS - 3-морфолинпропансульфоновая кислота</w:t>
      </w:r>
    </w:p>
    <w:p w:rsidR="006A5E94" w:rsidRPr="006A5E94" w:rsidRDefault="006A5E94" w:rsidP="006A5E94">
      <w:pPr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val="en-US" w:eastAsia="ja-JP"/>
        </w:rPr>
        <w:t>CDP</w:t>
      </w:r>
      <w:r w:rsidRPr="006A5E94">
        <w:rPr>
          <w:sz w:val="22"/>
          <w:szCs w:val="22"/>
          <w:lang w:eastAsia="ja-JP"/>
        </w:rPr>
        <w:t>-</w:t>
      </w:r>
      <w:r w:rsidRPr="006A5E94">
        <w:rPr>
          <w:sz w:val="22"/>
          <w:szCs w:val="22"/>
          <w:lang w:val="en-US" w:eastAsia="ja-JP"/>
        </w:rPr>
        <w:t>Star</w:t>
      </w:r>
      <w:r w:rsidRPr="006A5E94">
        <w:rPr>
          <w:sz w:val="22"/>
          <w:szCs w:val="22"/>
          <w:lang w:eastAsia="ja-JP"/>
        </w:rPr>
        <w:t xml:space="preserve">® - зарегистрированная торговая марка </w:t>
      </w:r>
      <w:r w:rsidRPr="006A5E94">
        <w:rPr>
          <w:sz w:val="22"/>
          <w:szCs w:val="22"/>
          <w:lang w:val="en-US" w:eastAsia="ja-JP"/>
        </w:rPr>
        <w:t>Applied</w:t>
      </w:r>
      <w:r w:rsidRPr="006A5E94">
        <w:rPr>
          <w:sz w:val="22"/>
          <w:szCs w:val="22"/>
          <w:lang w:eastAsia="ja-JP"/>
        </w:rPr>
        <w:t xml:space="preserve"> </w:t>
      </w:r>
      <w:r w:rsidRPr="006A5E94">
        <w:rPr>
          <w:sz w:val="22"/>
          <w:szCs w:val="22"/>
          <w:lang w:val="en-US" w:eastAsia="ja-JP"/>
        </w:rPr>
        <w:t>Biosystems</w:t>
      </w:r>
    </w:p>
    <w:p w:rsidR="006A5E94" w:rsidRPr="006A5E94" w:rsidRDefault="006A5E94" w:rsidP="006A5E94">
      <w:pPr>
        <w:tabs>
          <w:tab w:val="left" w:pos="5040"/>
        </w:tabs>
        <w:jc w:val="both"/>
        <w:rPr>
          <w:sz w:val="22"/>
          <w:szCs w:val="22"/>
          <w:lang w:eastAsia="ja-JP"/>
        </w:rPr>
      </w:pPr>
    </w:p>
    <w:p w:rsidR="006A5E94" w:rsidRPr="006A5E94" w:rsidRDefault="006A5E94" w:rsidP="006A5E94">
      <w:pPr>
        <w:tabs>
          <w:tab w:val="left" w:pos="5040"/>
        </w:tabs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>Калибраторы</w:t>
      </w:r>
    </w:p>
    <w:p w:rsidR="006A5E94" w:rsidRPr="006A5E94" w:rsidRDefault="006A5E94" w:rsidP="006A5E94">
      <w:pPr>
        <w:tabs>
          <w:tab w:val="left" w:pos="4820"/>
        </w:tabs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>1. Калибратор 1 (</w:t>
      </w:r>
      <w:r w:rsidRPr="006A5E94">
        <w:rPr>
          <w:sz w:val="22"/>
          <w:szCs w:val="22"/>
          <w:lang w:val="en-US" w:eastAsia="ja-JP"/>
        </w:rPr>
        <w:t>CAL</w:t>
      </w:r>
      <w:r w:rsidRPr="006A5E94">
        <w:rPr>
          <w:sz w:val="22"/>
          <w:szCs w:val="22"/>
          <w:lang w:eastAsia="ja-JP"/>
        </w:rPr>
        <w:t xml:space="preserve">-1) </w:t>
      </w:r>
      <w:r w:rsidRPr="006A5E94">
        <w:rPr>
          <w:sz w:val="22"/>
          <w:szCs w:val="22"/>
          <w:lang w:eastAsia="ja-JP"/>
        </w:rPr>
        <w:tab/>
        <w:t>2,0 мл х 1 флакон (жидкий)</w:t>
      </w:r>
    </w:p>
    <w:p w:rsidR="006A5E94" w:rsidRPr="006A5E94" w:rsidRDefault="006A5E94" w:rsidP="006A5E94">
      <w:pPr>
        <w:tabs>
          <w:tab w:val="left" w:pos="4820"/>
        </w:tabs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>2. Калибратор 2 (</w:t>
      </w:r>
      <w:r w:rsidRPr="006A5E94">
        <w:rPr>
          <w:sz w:val="22"/>
          <w:szCs w:val="22"/>
          <w:lang w:val="en-US" w:eastAsia="ja-JP"/>
        </w:rPr>
        <w:t>CAL</w:t>
      </w:r>
      <w:r w:rsidRPr="006A5E94">
        <w:rPr>
          <w:sz w:val="22"/>
          <w:szCs w:val="22"/>
          <w:lang w:eastAsia="ja-JP"/>
        </w:rPr>
        <w:t xml:space="preserve">-2) </w:t>
      </w:r>
      <w:r w:rsidRPr="006A5E94">
        <w:rPr>
          <w:sz w:val="22"/>
          <w:szCs w:val="22"/>
          <w:lang w:eastAsia="ja-JP"/>
        </w:rPr>
        <w:tab/>
        <w:t>для 1,0 мл х 2 флакона (лиофилизированный)</w:t>
      </w:r>
    </w:p>
    <w:p w:rsidR="006A5E94" w:rsidRPr="006A5E94" w:rsidRDefault="006A5E94" w:rsidP="006A5E94">
      <w:pPr>
        <w:tabs>
          <w:tab w:val="left" w:pos="4820"/>
        </w:tabs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>3. Растворитель для калибратора</w:t>
      </w:r>
      <w:r w:rsidRPr="006A5E94">
        <w:rPr>
          <w:sz w:val="22"/>
          <w:szCs w:val="22"/>
          <w:lang w:eastAsia="ja-JP"/>
        </w:rPr>
        <w:tab/>
        <w:t>1,0 мл х 2 флакона (жидкий)</w:t>
      </w:r>
    </w:p>
    <w:p w:rsidR="006A5E94" w:rsidRPr="006A5E94" w:rsidRDefault="006A5E94" w:rsidP="006A5E94">
      <w:pPr>
        <w:tabs>
          <w:tab w:val="left" w:pos="4820"/>
          <w:tab w:val="left" w:pos="5040"/>
        </w:tabs>
        <w:jc w:val="both"/>
        <w:rPr>
          <w:sz w:val="22"/>
          <w:szCs w:val="22"/>
          <w:lang w:eastAsia="ja-JP"/>
        </w:rPr>
      </w:pPr>
    </w:p>
    <w:p w:rsidR="006A5E94" w:rsidRPr="006A5E94" w:rsidRDefault="006A5E94" w:rsidP="006A5E94">
      <w:pPr>
        <w:tabs>
          <w:tab w:val="left" w:pos="4820"/>
        </w:tabs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>Карта эталонной калибровки (</w:t>
      </w:r>
      <w:r w:rsidRPr="006A5E94">
        <w:rPr>
          <w:sz w:val="22"/>
          <w:szCs w:val="22"/>
          <w:lang w:val="en-US" w:eastAsia="ja-JP"/>
        </w:rPr>
        <w:t>MC</w:t>
      </w:r>
      <w:r w:rsidRPr="006A5E94">
        <w:rPr>
          <w:sz w:val="22"/>
          <w:szCs w:val="22"/>
          <w:lang w:eastAsia="ja-JP"/>
        </w:rPr>
        <w:t xml:space="preserve"> </w:t>
      </w:r>
      <w:r w:rsidRPr="006A5E94">
        <w:rPr>
          <w:sz w:val="22"/>
          <w:szCs w:val="22"/>
          <w:lang w:val="en-US" w:eastAsia="ja-JP"/>
        </w:rPr>
        <w:t>Entry</w:t>
      </w:r>
      <w:r w:rsidRPr="006A5E94">
        <w:rPr>
          <w:sz w:val="22"/>
          <w:szCs w:val="22"/>
          <w:lang w:eastAsia="ja-JP"/>
        </w:rPr>
        <w:t xml:space="preserve"> </w:t>
      </w:r>
      <w:r w:rsidRPr="006A5E94">
        <w:rPr>
          <w:sz w:val="22"/>
          <w:szCs w:val="22"/>
          <w:lang w:val="en-US" w:eastAsia="ja-JP"/>
        </w:rPr>
        <w:t>Card</w:t>
      </w:r>
      <w:r w:rsidRPr="006A5E94">
        <w:rPr>
          <w:sz w:val="22"/>
          <w:szCs w:val="22"/>
          <w:lang w:eastAsia="ja-JP"/>
        </w:rPr>
        <w:t>)</w:t>
      </w:r>
      <w:r w:rsidRPr="006A5E94">
        <w:rPr>
          <w:sz w:val="22"/>
          <w:szCs w:val="22"/>
          <w:lang w:eastAsia="ja-JP"/>
        </w:rPr>
        <w:tab/>
        <w:t>1 штука</w:t>
      </w:r>
    </w:p>
    <w:p w:rsidR="006A5E94" w:rsidRPr="006A5E94" w:rsidRDefault="006A5E94" w:rsidP="006A5E94">
      <w:pPr>
        <w:tabs>
          <w:tab w:val="left" w:pos="4820"/>
        </w:tabs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 xml:space="preserve">Инструкция </w:t>
      </w:r>
      <w:r w:rsidRPr="006A5E94">
        <w:rPr>
          <w:sz w:val="22"/>
          <w:szCs w:val="22"/>
          <w:lang w:eastAsia="ja-JP"/>
        </w:rPr>
        <w:tab/>
        <w:t>1 штука</w:t>
      </w:r>
    </w:p>
    <w:p w:rsidR="006A5E94" w:rsidRPr="006A5E94" w:rsidRDefault="006A5E94" w:rsidP="006A5E94">
      <w:pPr>
        <w:tabs>
          <w:tab w:val="left" w:pos="4820"/>
        </w:tabs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>Паспорт контрольных значений</w:t>
      </w:r>
      <w:r w:rsidRPr="006A5E94">
        <w:rPr>
          <w:sz w:val="22"/>
          <w:szCs w:val="22"/>
          <w:lang w:eastAsia="ja-JP"/>
        </w:rPr>
        <w:tab/>
        <w:t>1 штука</w:t>
      </w:r>
    </w:p>
    <w:p w:rsidR="006A5E94" w:rsidRPr="006A5E94" w:rsidRDefault="006A5E94" w:rsidP="006A5E94">
      <w:pPr>
        <w:jc w:val="both"/>
        <w:rPr>
          <w:bCs/>
          <w:sz w:val="22"/>
          <w:szCs w:val="22"/>
        </w:rPr>
      </w:pPr>
    </w:p>
    <w:p w:rsidR="006A5E94" w:rsidRPr="006A5E94" w:rsidRDefault="006A5E94" w:rsidP="006A5E94">
      <w:pPr>
        <w:spacing w:before="120"/>
        <w:jc w:val="both"/>
        <w:rPr>
          <w:i/>
          <w:iCs/>
          <w:sz w:val="22"/>
          <w:szCs w:val="22"/>
          <w:lang w:eastAsia="ja-JP"/>
        </w:rPr>
      </w:pPr>
      <w:r w:rsidRPr="006A5E94">
        <w:rPr>
          <w:i/>
          <w:iCs/>
          <w:sz w:val="22"/>
          <w:szCs w:val="22"/>
          <w:lang w:eastAsia="ja-JP"/>
        </w:rPr>
        <w:t>Необходимые, но не поставляемые материалы и оборудование</w:t>
      </w:r>
    </w:p>
    <w:p w:rsidR="006A5E94" w:rsidRPr="006A5E94" w:rsidRDefault="006A5E94" w:rsidP="006A5E94">
      <w:pPr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</w:rPr>
        <w:t xml:space="preserve">Анализатор </w:t>
      </w:r>
      <w:r w:rsidRPr="006A5E94">
        <w:rPr>
          <w:sz w:val="22"/>
          <w:szCs w:val="22"/>
          <w:lang w:val="en-US" w:eastAsia="ja-JP"/>
        </w:rPr>
        <w:t>PATHFAST</w:t>
      </w:r>
      <w:r w:rsidRPr="006A5E94">
        <w:rPr>
          <w:sz w:val="22"/>
          <w:szCs w:val="22"/>
          <w:vertAlign w:val="superscript"/>
          <w:lang w:val="en-US" w:eastAsia="ja-JP"/>
        </w:rPr>
        <w:t>TM</w:t>
      </w:r>
      <w:r w:rsidRPr="006A5E94">
        <w:rPr>
          <w:sz w:val="22"/>
          <w:szCs w:val="22"/>
          <w:lang w:eastAsia="ja-JP"/>
        </w:rPr>
        <w:t xml:space="preserve"> </w:t>
      </w:r>
      <w:r w:rsidRPr="006A5E94">
        <w:rPr>
          <w:sz w:val="22"/>
          <w:szCs w:val="22"/>
        </w:rPr>
        <w:t>и расходные материалы</w:t>
      </w:r>
    </w:p>
    <w:p w:rsidR="006A5E94" w:rsidRPr="006A5E94" w:rsidRDefault="006A5E94" w:rsidP="006A5E94">
      <w:pPr>
        <w:jc w:val="both"/>
        <w:rPr>
          <w:sz w:val="22"/>
          <w:szCs w:val="22"/>
        </w:rPr>
      </w:pPr>
      <w:r w:rsidRPr="006A5E94">
        <w:rPr>
          <w:sz w:val="22"/>
          <w:szCs w:val="22"/>
        </w:rPr>
        <w:t>Контрольный материал для cTnI</w:t>
      </w:r>
    </w:p>
    <w:p w:rsidR="006A5E94" w:rsidRPr="006A5E94" w:rsidRDefault="006A5E94" w:rsidP="006A5E94">
      <w:pPr>
        <w:spacing w:before="120"/>
        <w:jc w:val="both"/>
        <w:rPr>
          <w:sz w:val="22"/>
          <w:szCs w:val="22"/>
        </w:rPr>
      </w:pPr>
      <w:r w:rsidRPr="006A5E94">
        <w:rPr>
          <w:i/>
          <w:iCs/>
          <w:sz w:val="22"/>
          <w:szCs w:val="22"/>
          <w:lang w:eastAsia="ja-JP"/>
        </w:rPr>
        <w:t>Меры предосторожности</w:t>
      </w:r>
    </w:p>
    <w:p w:rsidR="006A5E94" w:rsidRPr="006A5E94" w:rsidRDefault="006A5E94" w:rsidP="006A5E94">
      <w:pPr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>Картриджи с реагентами:</w:t>
      </w:r>
    </w:p>
    <w:p w:rsidR="006A5E94" w:rsidRPr="006A5E94" w:rsidRDefault="006A5E94" w:rsidP="006A5E9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</w:rPr>
        <w:t>Не использовать реагенты по окончании срока хранения</w:t>
      </w:r>
      <w:r w:rsidRPr="006A5E94">
        <w:rPr>
          <w:sz w:val="22"/>
          <w:szCs w:val="22"/>
          <w:lang w:eastAsia="ja-JP"/>
        </w:rPr>
        <w:t>.</w:t>
      </w:r>
    </w:p>
    <w:p w:rsidR="006A5E94" w:rsidRPr="006A5E94" w:rsidRDefault="006A5E94" w:rsidP="006A5E9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</w:rPr>
        <w:t>Не использовать картриджи повторно, это одноразовые расходные материалы</w:t>
      </w:r>
      <w:r w:rsidRPr="006A5E94">
        <w:rPr>
          <w:sz w:val="22"/>
          <w:szCs w:val="22"/>
          <w:lang w:eastAsia="ja-JP"/>
        </w:rPr>
        <w:t>.</w:t>
      </w:r>
    </w:p>
    <w:p w:rsidR="006A5E94" w:rsidRPr="006A5E94" w:rsidRDefault="006A5E94" w:rsidP="006A5E9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</w:rPr>
        <w:t>Не снимать алюминиевую фольгу с картриджа</w:t>
      </w:r>
      <w:r w:rsidRPr="006A5E94">
        <w:rPr>
          <w:sz w:val="22"/>
          <w:szCs w:val="22"/>
          <w:lang w:eastAsia="ja-JP"/>
        </w:rPr>
        <w:t>.</w:t>
      </w:r>
    </w:p>
    <w:p w:rsidR="006A5E94" w:rsidRPr="006A5E94" w:rsidRDefault="006A5E94" w:rsidP="006A5E9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</w:rPr>
        <w:t xml:space="preserve">Держать </w:t>
      </w:r>
      <w:r w:rsidRPr="006A5E94">
        <w:rPr>
          <w:sz w:val="22"/>
          <w:szCs w:val="22"/>
          <w:lang w:eastAsia="ja-JP"/>
        </w:rPr>
        <w:t>картридж только за край и не касаться пальцами алюминиевого покрытия и черной счетной лунки.</w:t>
      </w:r>
    </w:p>
    <w:p w:rsidR="006A5E94" w:rsidRPr="006A5E94" w:rsidRDefault="006A5E94" w:rsidP="006A5E9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</w:rPr>
        <w:t>Не пользоваться упавшими или поврежденными картриджами</w:t>
      </w:r>
      <w:r w:rsidRPr="006A5E94">
        <w:rPr>
          <w:sz w:val="22"/>
          <w:szCs w:val="22"/>
          <w:lang w:eastAsia="ja-JP"/>
        </w:rPr>
        <w:t>.</w:t>
      </w:r>
    </w:p>
    <w:p w:rsidR="006A5E94" w:rsidRPr="006A5E94" w:rsidRDefault="006A5E94" w:rsidP="006A5E9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>Избегать попадания слюны в черную счетную лунку.</w:t>
      </w:r>
    </w:p>
    <w:p w:rsidR="006A5E94" w:rsidRPr="006A5E94" w:rsidRDefault="006A5E94" w:rsidP="006A5E9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>Избегать загрязнения реагентов и их экспозиции на прямом солнечном свету.</w:t>
      </w:r>
    </w:p>
    <w:p w:rsidR="006A5E94" w:rsidRPr="006A5E94" w:rsidRDefault="006A5E94" w:rsidP="006A5E9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>При некоторых условиях хранения и транспортировки может наблюдаться слипание алюминиевого покрытия картриджей. Если такое наблюдается, аккуратно разделите картриджи на столе.</w:t>
      </w:r>
    </w:p>
    <w:p w:rsidR="006A5E94" w:rsidRPr="006A5E94" w:rsidRDefault="006A5E94" w:rsidP="006A5E9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</w:rPr>
        <w:t>Азид натрия, содержащийся в реагентах, может вступать в реакцию с медью и свинцом в водопроводных системах с образованием взрывоопасных солей. Содержание этого вещества в реагентах крайне мало, но, тем не менее, при утилизации азидсодержащих материалов, они должны смываться большим количеством воды.</w:t>
      </w:r>
    </w:p>
    <w:p w:rsidR="006A5E94" w:rsidRPr="006A5E94" w:rsidRDefault="006A5E94" w:rsidP="006A5E94">
      <w:pPr>
        <w:numPr>
          <w:ilvl w:val="0"/>
          <w:numId w:val="2"/>
        </w:numPr>
        <w:tabs>
          <w:tab w:val="clear" w:pos="720"/>
          <w:tab w:val="num" w:pos="180"/>
          <w:tab w:val="left" w:pos="360"/>
        </w:tabs>
        <w:ind w:left="36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</w:rPr>
        <w:t>Утилизировать отходы в соответствии с национальными правилами утилизации биологических отходов. Соблюдать общие меры предосторожности и обращаться со всеми компонентами как с потенциально инфекционными агентами.</w:t>
      </w:r>
    </w:p>
    <w:p w:rsidR="006A5E94" w:rsidRPr="006A5E94" w:rsidRDefault="006A5E94" w:rsidP="006A5E94">
      <w:pPr>
        <w:spacing w:before="120"/>
        <w:jc w:val="both"/>
        <w:rPr>
          <w:i/>
          <w:iCs/>
          <w:sz w:val="22"/>
          <w:szCs w:val="22"/>
          <w:lang w:eastAsia="ja-JP"/>
        </w:rPr>
      </w:pPr>
      <w:r w:rsidRPr="006A5E94">
        <w:rPr>
          <w:i/>
          <w:iCs/>
          <w:sz w:val="22"/>
          <w:szCs w:val="22"/>
          <w:lang w:eastAsia="ja-JP"/>
        </w:rPr>
        <w:t>Условия хранения</w:t>
      </w:r>
    </w:p>
    <w:p w:rsidR="006A5E94" w:rsidRPr="006A5E94" w:rsidRDefault="006A5E94" w:rsidP="006A5E94">
      <w:pPr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 xml:space="preserve">Хранить при +2 +8ºС. Не </w:t>
      </w:r>
      <w:r w:rsidRPr="006A5E94">
        <w:rPr>
          <w:sz w:val="22"/>
          <w:szCs w:val="22"/>
        </w:rPr>
        <w:t xml:space="preserve">вскрывать </w:t>
      </w:r>
      <w:r w:rsidRPr="006A5E94">
        <w:rPr>
          <w:sz w:val="22"/>
          <w:szCs w:val="22"/>
          <w:lang w:eastAsia="ja-JP"/>
        </w:rPr>
        <w:t>картриджи до непосредственного использования.</w:t>
      </w:r>
    </w:p>
    <w:p w:rsidR="006A5E94" w:rsidRPr="006A5E94" w:rsidRDefault="006A5E94" w:rsidP="006A5E94">
      <w:pPr>
        <w:spacing w:before="120"/>
        <w:jc w:val="both"/>
        <w:rPr>
          <w:i/>
          <w:iCs/>
          <w:sz w:val="22"/>
          <w:szCs w:val="22"/>
          <w:lang w:eastAsia="ja-JP"/>
        </w:rPr>
      </w:pPr>
      <w:r w:rsidRPr="006A5E94">
        <w:rPr>
          <w:i/>
          <w:iCs/>
          <w:sz w:val="22"/>
          <w:szCs w:val="22"/>
          <w:lang w:eastAsia="ja-JP"/>
        </w:rPr>
        <w:t>Срок хранения</w:t>
      </w:r>
    </w:p>
    <w:p w:rsidR="006A5E94" w:rsidRPr="006A5E94" w:rsidRDefault="006A5E94" w:rsidP="006A5E94">
      <w:pPr>
        <w:jc w:val="both"/>
        <w:rPr>
          <w:sz w:val="22"/>
          <w:szCs w:val="22"/>
        </w:rPr>
      </w:pPr>
      <w:r w:rsidRPr="006A5E94">
        <w:rPr>
          <w:sz w:val="22"/>
          <w:szCs w:val="22"/>
        </w:rPr>
        <w:t>Срок хранения указан на картридже, упаковке картриджей и общей упаковке.</w:t>
      </w:r>
    </w:p>
    <w:p w:rsidR="006A5E94" w:rsidRPr="006A5E94" w:rsidRDefault="006A5E94" w:rsidP="006A5E94">
      <w:pPr>
        <w:spacing w:before="120"/>
        <w:jc w:val="both"/>
        <w:rPr>
          <w:i/>
          <w:iCs/>
          <w:sz w:val="22"/>
          <w:szCs w:val="22"/>
          <w:lang w:eastAsia="ja-JP"/>
        </w:rPr>
      </w:pPr>
      <w:r w:rsidRPr="006A5E94">
        <w:rPr>
          <w:i/>
          <w:iCs/>
          <w:sz w:val="22"/>
          <w:szCs w:val="22"/>
          <w:lang w:eastAsia="ja-JP"/>
        </w:rPr>
        <w:t>Сбор проб</w:t>
      </w:r>
    </w:p>
    <w:p w:rsidR="006A5E94" w:rsidRPr="006A5E94" w:rsidRDefault="006A5E94" w:rsidP="006A5E9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</w:rPr>
        <w:t xml:space="preserve">Использовать цельную кровь или плазму, собранные стандартной процедурой в пробирки </w:t>
      </w:r>
      <w:r w:rsidRPr="006A5E94">
        <w:rPr>
          <w:sz w:val="22"/>
          <w:szCs w:val="22"/>
          <w:lang w:eastAsia="ja-JP"/>
        </w:rPr>
        <w:t>с натрия гепаринатом, лития гепаринатом или ЭДТА.</w:t>
      </w:r>
    </w:p>
    <w:p w:rsidR="006A5E94" w:rsidRPr="006A5E94" w:rsidRDefault="006A5E94" w:rsidP="006A5E9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</w:rPr>
        <w:t>Пробы цельной крови должны быть проанализированы в течение 4 часов после сбора.</w:t>
      </w:r>
    </w:p>
    <w:p w:rsidR="006A5E94" w:rsidRPr="006A5E94" w:rsidRDefault="006A5E94" w:rsidP="006A5E9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>Перед использованием пробы следует убедиться, что плазма не содержит фибриновых нитей или сгустков и других нерастворимых частиц, в противном случае эти частицы необходимо удалить центрифугированием или фильтрацией.</w:t>
      </w:r>
    </w:p>
    <w:p w:rsidR="006A5E94" w:rsidRPr="006A5E94" w:rsidRDefault="006A5E94" w:rsidP="006A5E9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>Пробы плазмы</w:t>
      </w:r>
      <w:r w:rsidRPr="006A5E94">
        <w:rPr>
          <w:sz w:val="22"/>
          <w:szCs w:val="22"/>
        </w:rPr>
        <w:t xml:space="preserve"> можно хранить при -20ºС и ниже до момента тестирования. Размороженные пробы не замораживать повторно.</w:t>
      </w:r>
    </w:p>
    <w:p w:rsidR="006A5E94" w:rsidRPr="006A5E94" w:rsidRDefault="006A5E94" w:rsidP="006A5E94">
      <w:pPr>
        <w:spacing w:before="120"/>
        <w:jc w:val="both"/>
        <w:rPr>
          <w:i/>
          <w:iCs/>
          <w:sz w:val="22"/>
          <w:szCs w:val="22"/>
          <w:lang w:eastAsia="ja-JP"/>
        </w:rPr>
      </w:pPr>
      <w:r w:rsidRPr="006A5E94">
        <w:rPr>
          <w:i/>
          <w:iCs/>
          <w:sz w:val="22"/>
          <w:szCs w:val="22"/>
          <w:lang w:eastAsia="ja-JP"/>
        </w:rPr>
        <w:t xml:space="preserve">Стабильность проб </w:t>
      </w:r>
      <w:r w:rsidRPr="006A5E94">
        <w:rPr>
          <w:iCs/>
          <w:sz w:val="22"/>
          <w:szCs w:val="22"/>
          <w:lang w:eastAsia="ja-JP"/>
        </w:rPr>
        <w:t>(12-14)</w:t>
      </w:r>
    </w:p>
    <w:p w:rsidR="006A5E94" w:rsidRPr="006A5E94" w:rsidRDefault="006A5E94" w:rsidP="006A5E94">
      <w:pPr>
        <w:jc w:val="both"/>
        <w:rPr>
          <w:sz w:val="22"/>
          <w:szCs w:val="22"/>
        </w:rPr>
      </w:pPr>
      <w:r w:rsidRPr="006A5E94">
        <w:rPr>
          <w:sz w:val="22"/>
          <w:szCs w:val="22"/>
        </w:rPr>
        <w:t>ЭДТА и гепариновая плазма</w:t>
      </w:r>
    </w:p>
    <w:p w:rsidR="006A5E94" w:rsidRPr="006A5E94" w:rsidRDefault="006A5E94" w:rsidP="006A5E94">
      <w:pPr>
        <w:jc w:val="both"/>
        <w:rPr>
          <w:sz w:val="22"/>
          <w:szCs w:val="22"/>
        </w:rPr>
      </w:pPr>
      <w:r w:rsidRPr="006A5E94">
        <w:rPr>
          <w:sz w:val="22"/>
          <w:szCs w:val="22"/>
        </w:rPr>
        <w:t>1. при +15ºС - +25ºС:  6 часов</w:t>
      </w:r>
    </w:p>
    <w:p w:rsidR="006A5E94" w:rsidRPr="006A5E94" w:rsidRDefault="006A5E94" w:rsidP="006A5E94">
      <w:pPr>
        <w:jc w:val="both"/>
        <w:rPr>
          <w:sz w:val="22"/>
          <w:szCs w:val="22"/>
        </w:rPr>
      </w:pPr>
      <w:r w:rsidRPr="006A5E94">
        <w:rPr>
          <w:sz w:val="22"/>
          <w:szCs w:val="22"/>
        </w:rPr>
        <w:t>2. при +2ºС  -  +8ºС:    8 часов</w:t>
      </w:r>
    </w:p>
    <w:p w:rsidR="006A5E94" w:rsidRPr="006A5E94" w:rsidRDefault="006A5E94" w:rsidP="006A5E94">
      <w:pPr>
        <w:jc w:val="both"/>
        <w:rPr>
          <w:sz w:val="22"/>
          <w:szCs w:val="22"/>
        </w:rPr>
      </w:pPr>
      <w:r w:rsidRPr="006A5E94">
        <w:rPr>
          <w:sz w:val="22"/>
          <w:szCs w:val="22"/>
        </w:rPr>
        <w:t>3. при -20ºС:                3 недели (однократная заморозка)</w:t>
      </w:r>
    </w:p>
    <w:p w:rsidR="006A5E94" w:rsidRPr="006A5E94" w:rsidRDefault="006A5E94" w:rsidP="006A5E94">
      <w:pPr>
        <w:spacing w:before="120"/>
        <w:jc w:val="both"/>
        <w:rPr>
          <w:i/>
          <w:iCs/>
          <w:sz w:val="22"/>
          <w:szCs w:val="22"/>
          <w:lang w:eastAsia="ja-JP"/>
        </w:rPr>
      </w:pPr>
      <w:r w:rsidRPr="006A5E94">
        <w:rPr>
          <w:i/>
          <w:iCs/>
          <w:sz w:val="22"/>
          <w:szCs w:val="22"/>
          <w:lang w:eastAsia="ja-JP"/>
        </w:rPr>
        <w:lastRenderedPageBreak/>
        <w:t>Подготовка реагентов и проведение анализа</w:t>
      </w:r>
    </w:p>
    <w:p w:rsidR="006A5E94" w:rsidRPr="006A5E94" w:rsidRDefault="006A5E94" w:rsidP="006A5E94">
      <w:pPr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>Подготовка реагентов</w:t>
      </w:r>
    </w:p>
    <w:p w:rsidR="006A5E94" w:rsidRPr="006A5E94" w:rsidRDefault="006A5E94" w:rsidP="006A5E94">
      <w:pPr>
        <w:numPr>
          <w:ilvl w:val="0"/>
          <w:numId w:val="6"/>
        </w:numPr>
        <w:tabs>
          <w:tab w:val="clear" w:pos="644"/>
          <w:tab w:val="num" w:pos="360"/>
          <w:tab w:val="num" w:pos="900"/>
        </w:tabs>
        <w:ind w:left="180" w:hanging="180"/>
        <w:jc w:val="both"/>
        <w:rPr>
          <w:sz w:val="22"/>
          <w:szCs w:val="22"/>
          <w:lang w:val="en-US" w:eastAsia="ja-JP"/>
        </w:rPr>
      </w:pPr>
      <w:r w:rsidRPr="006A5E94">
        <w:rPr>
          <w:sz w:val="22"/>
          <w:szCs w:val="22"/>
          <w:lang w:eastAsia="ja-JP"/>
        </w:rPr>
        <w:t>Картридж с реагентами</w:t>
      </w:r>
    </w:p>
    <w:p w:rsidR="006A5E94" w:rsidRPr="006A5E94" w:rsidRDefault="006A5E94" w:rsidP="006A5E94">
      <w:pPr>
        <w:tabs>
          <w:tab w:val="num" w:pos="360"/>
        </w:tabs>
        <w:ind w:left="360"/>
        <w:jc w:val="both"/>
        <w:rPr>
          <w:sz w:val="22"/>
          <w:szCs w:val="22"/>
          <w:lang w:val="en-US" w:eastAsia="ja-JP"/>
        </w:rPr>
      </w:pPr>
      <w:r w:rsidRPr="006A5E94">
        <w:rPr>
          <w:sz w:val="22"/>
          <w:szCs w:val="22"/>
          <w:lang w:eastAsia="ja-JP"/>
        </w:rPr>
        <w:t>Готов к использованию</w:t>
      </w:r>
      <w:r w:rsidRPr="006A5E94">
        <w:rPr>
          <w:sz w:val="22"/>
          <w:szCs w:val="22"/>
          <w:lang w:val="en-US" w:eastAsia="ja-JP"/>
        </w:rPr>
        <w:t>.</w:t>
      </w:r>
    </w:p>
    <w:p w:rsidR="006A5E94" w:rsidRPr="006A5E94" w:rsidRDefault="006A5E94" w:rsidP="006A5E94">
      <w:pPr>
        <w:numPr>
          <w:ilvl w:val="0"/>
          <w:numId w:val="6"/>
        </w:numPr>
        <w:tabs>
          <w:tab w:val="clear" w:pos="644"/>
          <w:tab w:val="num" w:pos="360"/>
          <w:tab w:val="num" w:pos="900"/>
        </w:tabs>
        <w:ind w:left="180" w:hanging="180"/>
        <w:jc w:val="both"/>
        <w:rPr>
          <w:sz w:val="22"/>
          <w:szCs w:val="22"/>
          <w:lang w:val="en-US" w:eastAsia="ja-JP"/>
        </w:rPr>
      </w:pPr>
      <w:r w:rsidRPr="006A5E94">
        <w:rPr>
          <w:sz w:val="22"/>
          <w:szCs w:val="22"/>
          <w:lang w:eastAsia="ja-JP"/>
        </w:rPr>
        <w:t>Калибратор 1 (</w:t>
      </w:r>
      <w:r w:rsidRPr="006A5E94">
        <w:rPr>
          <w:sz w:val="22"/>
          <w:szCs w:val="22"/>
          <w:lang w:val="en-US" w:eastAsia="ja-JP"/>
        </w:rPr>
        <w:t>CAL</w:t>
      </w:r>
      <w:r w:rsidRPr="006A5E94">
        <w:rPr>
          <w:sz w:val="22"/>
          <w:szCs w:val="22"/>
          <w:lang w:eastAsia="ja-JP"/>
        </w:rPr>
        <w:t>-1)</w:t>
      </w:r>
    </w:p>
    <w:p w:rsidR="006A5E94" w:rsidRPr="006A5E94" w:rsidRDefault="006A5E94" w:rsidP="006A5E94">
      <w:pPr>
        <w:tabs>
          <w:tab w:val="num" w:pos="360"/>
        </w:tabs>
        <w:ind w:left="360"/>
        <w:jc w:val="both"/>
        <w:rPr>
          <w:sz w:val="22"/>
          <w:szCs w:val="22"/>
          <w:lang w:val="en-US" w:eastAsia="ja-JP"/>
        </w:rPr>
      </w:pPr>
      <w:r w:rsidRPr="006A5E94">
        <w:rPr>
          <w:sz w:val="22"/>
          <w:szCs w:val="22"/>
          <w:lang w:eastAsia="ja-JP"/>
        </w:rPr>
        <w:t>Готов к использованию</w:t>
      </w:r>
      <w:r w:rsidRPr="006A5E94">
        <w:rPr>
          <w:sz w:val="22"/>
          <w:szCs w:val="22"/>
          <w:lang w:val="en-US" w:eastAsia="ja-JP"/>
        </w:rPr>
        <w:t>.</w:t>
      </w:r>
    </w:p>
    <w:p w:rsidR="006A5E94" w:rsidRPr="006A5E94" w:rsidRDefault="006A5E94" w:rsidP="006A5E94">
      <w:pPr>
        <w:numPr>
          <w:ilvl w:val="0"/>
          <w:numId w:val="6"/>
        </w:numPr>
        <w:tabs>
          <w:tab w:val="clear" w:pos="644"/>
          <w:tab w:val="num" w:pos="360"/>
          <w:tab w:val="num" w:pos="900"/>
        </w:tabs>
        <w:ind w:left="180" w:hanging="180"/>
        <w:jc w:val="both"/>
        <w:rPr>
          <w:sz w:val="22"/>
          <w:szCs w:val="22"/>
          <w:lang w:val="en-US" w:eastAsia="ja-JP"/>
        </w:rPr>
      </w:pPr>
      <w:r w:rsidRPr="006A5E94">
        <w:rPr>
          <w:sz w:val="22"/>
          <w:szCs w:val="22"/>
          <w:lang w:eastAsia="ja-JP"/>
        </w:rPr>
        <w:t>Калибратор 2 (</w:t>
      </w:r>
      <w:r w:rsidRPr="006A5E94">
        <w:rPr>
          <w:sz w:val="22"/>
          <w:szCs w:val="22"/>
          <w:lang w:val="en-US" w:eastAsia="ja-JP"/>
        </w:rPr>
        <w:t>CAL</w:t>
      </w:r>
      <w:r w:rsidRPr="006A5E94">
        <w:rPr>
          <w:sz w:val="22"/>
          <w:szCs w:val="22"/>
          <w:lang w:eastAsia="ja-JP"/>
        </w:rPr>
        <w:t>-2)</w:t>
      </w:r>
    </w:p>
    <w:p w:rsidR="006A5E94" w:rsidRPr="006A5E94" w:rsidRDefault="006A5E94" w:rsidP="006A5E94">
      <w:pPr>
        <w:tabs>
          <w:tab w:val="num" w:pos="360"/>
        </w:tabs>
        <w:ind w:left="426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>Восстановить каждый флакон с калибратором 2 (</w:t>
      </w:r>
      <w:r w:rsidRPr="006A5E94">
        <w:rPr>
          <w:sz w:val="22"/>
          <w:szCs w:val="22"/>
          <w:lang w:val="en-US" w:eastAsia="ja-JP"/>
        </w:rPr>
        <w:t>CAL</w:t>
      </w:r>
      <w:r w:rsidRPr="006A5E94">
        <w:rPr>
          <w:sz w:val="22"/>
          <w:szCs w:val="22"/>
          <w:lang w:eastAsia="ja-JP"/>
        </w:rPr>
        <w:t xml:space="preserve">-2) при помощи одного флакона растворителя для калибратора. Восстановленные калибраторы сохраняют стабильность в течение 3 дней при +2+8º С или 3 месяца при –20º </w:t>
      </w:r>
      <w:r w:rsidRPr="006A5E94">
        <w:rPr>
          <w:sz w:val="22"/>
          <w:szCs w:val="22"/>
          <w:lang w:val="en-US" w:eastAsia="ja-JP"/>
        </w:rPr>
        <w:t>C</w:t>
      </w:r>
      <w:r w:rsidRPr="006A5E94">
        <w:rPr>
          <w:sz w:val="22"/>
          <w:szCs w:val="22"/>
          <w:lang w:eastAsia="ja-JP"/>
        </w:rPr>
        <w:t>.</w:t>
      </w:r>
    </w:p>
    <w:p w:rsidR="006A5E94" w:rsidRPr="006A5E94" w:rsidRDefault="006A5E94" w:rsidP="006A5E94">
      <w:pPr>
        <w:tabs>
          <w:tab w:val="num" w:pos="360"/>
        </w:tabs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 xml:space="preserve">Примечание: </w:t>
      </w:r>
    </w:p>
    <w:p w:rsidR="006A5E94" w:rsidRPr="006A5E94" w:rsidRDefault="006A5E94" w:rsidP="006A5E94">
      <w:pPr>
        <w:tabs>
          <w:tab w:val="num" w:pos="360"/>
        </w:tabs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 xml:space="preserve">Используйте только одинаковые лоты калибратора 2 и растворителя для калибратора. Никогда не смешивайте разные лоты </w:t>
      </w:r>
      <w:r w:rsidRPr="006A5E94">
        <w:rPr>
          <w:sz w:val="22"/>
          <w:szCs w:val="22"/>
          <w:lang w:val="en-US" w:eastAsia="ja-JP"/>
        </w:rPr>
        <w:t>CAL</w:t>
      </w:r>
      <w:r w:rsidRPr="006A5E94">
        <w:rPr>
          <w:sz w:val="22"/>
          <w:szCs w:val="22"/>
          <w:lang w:eastAsia="ja-JP"/>
        </w:rPr>
        <w:t>-2 и растворителя для калибратора.</w:t>
      </w:r>
    </w:p>
    <w:p w:rsidR="006A5E94" w:rsidRPr="006A5E94" w:rsidRDefault="006A5E94" w:rsidP="006A5E94">
      <w:pPr>
        <w:spacing w:before="120"/>
        <w:jc w:val="both"/>
        <w:rPr>
          <w:i/>
          <w:sz w:val="22"/>
          <w:szCs w:val="22"/>
          <w:lang w:eastAsia="ja-JP"/>
        </w:rPr>
      </w:pPr>
      <w:r w:rsidRPr="006A5E94">
        <w:rPr>
          <w:i/>
          <w:sz w:val="22"/>
          <w:szCs w:val="22"/>
          <w:lang w:eastAsia="ja-JP"/>
        </w:rPr>
        <w:t>Установка эталонной калибровочной кривой</w:t>
      </w:r>
    </w:p>
    <w:p w:rsidR="006A5E94" w:rsidRPr="006A5E94" w:rsidRDefault="006A5E94" w:rsidP="006A5E9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 xml:space="preserve">Установка </w:t>
      </w:r>
      <w:r w:rsidRPr="006A5E94">
        <w:rPr>
          <w:sz w:val="22"/>
          <w:szCs w:val="22"/>
        </w:rPr>
        <w:t xml:space="preserve">эталонной калибровочной кривой </w:t>
      </w:r>
      <w:r w:rsidRPr="006A5E94">
        <w:rPr>
          <w:sz w:val="22"/>
          <w:szCs w:val="22"/>
          <w:lang w:eastAsia="ja-JP"/>
        </w:rPr>
        <w:t>проводится каждый раз при начале использования нового лота реагентов.</w:t>
      </w:r>
    </w:p>
    <w:p w:rsidR="006A5E94" w:rsidRPr="006A5E94" w:rsidRDefault="006A5E94" w:rsidP="006A5E9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 xml:space="preserve">Установка </w:t>
      </w:r>
      <w:r w:rsidRPr="006A5E94">
        <w:rPr>
          <w:sz w:val="22"/>
          <w:szCs w:val="22"/>
        </w:rPr>
        <w:t xml:space="preserve">эталонной </w:t>
      </w:r>
      <w:r w:rsidRPr="006A5E94">
        <w:rPr>
          <w:sz w:val="22"/>
          <w:szCs w:val="22"/>
          <w:lang w:eastAsia="ja-JP"/>
        </w:rPr>
        <w:t xml:space="preserve">калибровочной кривой производится путем считывания штрих-кода с карты эталонной калибровки, вложенной в упаковку, с помощью ручного сканера штрих-кодов анализатора </w:t>
      </w:r>
      <w:r w:rsidRPr="006A5E94">
        <w:rPr>
          <w:sz w:val="22"/>
          <w:szCs w:val="22"/>
          <w:lang w:val="en-US" w:eastAsia="ja-JP"/>
        </w:rPr>
        <w:t>PATHFAST</w:t>
      </w:r>
      <w:r w:rsidRPr="006A5E94">
        <w:rPr>
          <w:sz w:val="22"/>
          <w:szCs w:val="22"/>
          <w:lang w:eastAsia="ja-JP"/>
        </w:rPr>
        <w:t xml:space="preserve">. Подробности смотрите в руководстве пользователя для анализатора </w:t>
      </w:r>
      <w:r w:rsidRPr="006A5E94">
        <w:rPr>
          <w:sz w:val="22"/>
          <w:szCs w:val="22"/>
          <w:lang w:val="en-US" w:eastAsia="ja-JP"/>
        </w:rPr>
        <w:t>PATHFAST</w:t>
      </w:r>
      <w:r w:rsidRPr="006A5E94">
        <w:rPr>
          <w:sz w:val="22"/>
          <w:szCs w:val="22"/>
          <w:lang w:eastAsia="ja-JP"/>
        </w:rPr>
        <w:t>.</w:t>
      </w:r>
    </w:p>
    <w:p w:rsidR="006A5E94" w:rsidRPr="006A5E94" w:rsidRDefault="006A5E94" w:rsidP="006A5E94">
      <w:pPr>
        <w:spacing w:before="120"/>
        <w:jc w:val="both"/>
        <w:rPr>
          <w:i/>
          <w:sz w:val="22"/>
          <w:szCs w:val="22"/>
          <w:lang w:val="en-US" w:eastAsia="ja-JP"/>
        </w:rPr>
      </w:pPr>
      <w:r w:rsidRPr="006A5E94">
        <w:rPr>
          <w:i/>
          <w:sz w:val="22"/>
          <w:szCs w:val="22"/>
          <w:lang w:eastAsia="ja-JP"/>
        </w:rPr>
        <w:t>Пользовательская калибровка</w:t>
      </w:r>
    </w:p>
    <w:p w:rsidR="006A5E94" w:rsidRPr="006A5E94" w:rsidRDefault="006A5E94" w:rsidP="006A5E9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>Проведение пользовательской калибровки необходимо каждый раз при начале использования нового лота реагентов после установки эталонной калибровочной кривой по карте эталонной калибровки.</w:t>
      </w:r>
    </w:p>
    <w:p w:rsidR="006A5E94" w:rsidRPr="006A5E94" w:rsidRDefault="006A5E94" w:rsidP="006A5E9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>Пользовательскую калибровку необходимо обновлять каждые 4 недели после проведения первой калибровки (карта эталонной калибровки для этого не нужна).</w:t>
      </w:r>
    </w:p>
    <w:p w:rsidR="006A5E94" w:rsidRPr="006A5E94" w:rsidRDefault="006A5E94" w:rsidP="006A5E9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 xml:space="preserve">Оба калибратора </w:t>
      </w:r>
      <w:r w:rsidRPr="006A5E94">
        <w:rPr>
          <w:sz w:val="22"/>
          <w:szCs w:val="22"/>
          <w:lang w:val="en-US" w:eastAsia="ja-JP"/>
        </w:rPr>
        <w:t>CAL</w:t>
      </w:r>
      <w:r w:rsidRPr="006A5E94">
        <w:rPr>
          <w:sz w:val="22"/>
          <w:szCs w:val="22"/>
          <w:lang w:eastAsia="ja-JP"/>
        </w:rPr>
        <w:t xml:space="preserve">-1 и </w:t>
      </w:r>
      <w:r w:rsidRPr="006A5E94">
        <w:rPr>
          <w:sz w:val="22"/>
          <w:szCs w:val="22"/>
          <w:lang w:val="en-US" w:eastAsia="ja-JP"/>
        </w:rPr>
        <w:t>CAL</w:t>
      </w:r>
      <w:r w:rsidRPr="006A5E94">
        <w:rPr>
          <w:sz w:val="22"/>
          <w:szCs w:val="22"/>
          <w:lang w:eastAsia="ja-JP"/>
        </w:rPr>
        <w:t xml:space="preserve">-2 должны быть протестированы в дублях. Следовательно, для проведения калибровки требуются 4 картриджа, два для </w:t>
      </w:r>
      <w:r w:rsidRPr="006A5E94">
        <w:rPr>
          <w:sz w:val="22"/>
          <w:szCs w:val="22"/>
          <w:lang w:val="en-US" w:eastAsia="ja-JP"/>
        </w:rPr>
        <w:t>CAL</w:t>
      </w:r>
      <w:r w:rsidRPr="006A5E94">
        <w:rPr>
          <w:sz w:val="22"/>
          <w:szCs w:val="22"/>
          <w:lang w:eastAsia="ja-JP"/>
        </w:rPr>
        <w:t xml:space="preserve">-1  и два для </w:t>
      </w:r>
      <w:r w:rsidRPr="006A5E94">
        <w:rPr>
          <w:sz w:val="22"/>
          <w:szCs w:val="22"/>
          <w:lang w:val="en-US" w:eastAsia="ja-JP"/>
        </w:rPr>
        <w:t>CAL</w:t>
      </w:r>
      <w:r w:rsidRPr="006A5E94">
        <w:rPr>
          <w:sz w:val="22"/>
          <w:szCs w:val="22"/>
          <w:lang w:eastAsia="ja-JP"/>
        </w:rPr>
        <w:t>-2.</w:t>
      </w:r>
    </w:p>
    <w:p w:rsidR="006A5E94" w:rsidRPr="006A5E94" w:rsidRDefault="006A5E94" w:rsidP="006A5E9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 xml:space="preserve">Установите реагентные картриджи в кассету для картриджей на приборе, потом внесите примерно по 100 мкл </w:t>
      </w:r>
      <w:r w:rsidRPr="006A5E94">
        <w:rPr>
          <w:sz w:val="22"/>
          <w:szCs w:val="22"/>
          <w:lang w:val="en-US" w:eastAsia="ja-JP"/>
        </w:rPr>
        <w:t>CAL</w:t>
      </w:r>
      <w:r w:rsidRPr="006A5E94">
        <w:rPr>
          <w:sz w:val="22"/>
          <w:szCs w:val="22"/>
          <w:lang w:eastAsia="ja-JP"/>
        </w:rPr>
        <w:t xml:space="preserve">-1 и </w:t>
      </w:r>
      <w:r w:rsidRPr="006A5E94">
        <w:rPr>
          <w:sz w:val="22"/>
          <w:szCs w:val="22"/>
          <w:lang w:val="en-US" w:eastAsia="ja-JP"/>
        </w:rPr>
        <w:t>CAL</w:t>
      </w:r>
      <w:r w:rsidRPr="006A5E94">
        <w:rPr>
          <w:sz w:val="22"/>
          <w:szCs w:val="22"/>
          <w:lang w:eastAsia="ja-JP"/>
        </w:rPr>
        <w:t xml:space="preserve">-2 в лунки для проб, запустите прибор </w:t>
      </w:r>
      <w:r w:rsidRPr="006A5E94">
        <w:rPr>
          <w:sz w:val="22"/>
          <w:szCs w:val="22"/>
          <w:lang w:val="en-US" w:eastAsia="ja-JP"/>
        </w:rPr>
        <w:t>PATHFAST</w:t>
      </w:r>
      <w:r w:rsidRPr="006A5E94">
        <w:rPr>
          <w:sz w:val="22"/>
          <w:szCs w:val="22"/>
          <w:lang w:eastAsia="ja-JP"/>
        </w:rPr>
        <w:t xml:space="preserve"> </w:t>
      </w:r>
      <w:r w:rsidRPr="006A5E94">
        <w:rPr>
          <w:sz w:val="22"/>
          <w:szCs w:val="22"/>
        </w:rPr>
        <w:t xml:space="preserve">в режиме калибровки </w:t>
      </w:r>
      <w:r w:rsidRPr="006A5E94">
        <w:rPr>
          <w:sz w:val="22"/>
          <w:szCs w:val="22"/>
          <w:lang w:eastAsia="ja-JP"/>
        </w:rPr>
        <w:t xml:space="preserve">и нажмите кнопку </w:t>
      </w:r>
      <w:r w:rsidRPr="006A5E94">
        <w:rPr>
          <w:sz w:val="22"/>
          <w:szCs w:val="22"/>
          <w:lang w:val="en-US" w:eastAsia="ja-JP"/>
        </w:rPr>
        <w:t>START</w:t>
      </w:r>
      <w:r w:rsidRPr="006A5E94">
        <w:rPr>
          <w:sz w:val="22"/>
          <w:szCs w:val="22"/>
          <w:lang w:eastAsia="ja-JP"/>
        </w:rPr>
        <w:t>.</w:t>
      </w:r>
    </w:p>
    <w:p w:rsidR="006A5E94" w:rsidRPr="006A5E94" w:rsidRDefault="006A5E94" w:rsidP="006A5E9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 xml:space="preserve">Проведите калибровку согласно пользовательскому руководству к прибору </w:t>
      </w:r>
      <w:r w:rsidRPr="006A5E94">
        <w:rPr>
          <w:sz w:val="22"/>
          <w:szCs w:val="22"/>
          <w:lang w:val="en-US" w:eastAsia="ja-JP"/>
        </w:rPr>
        <w:t>PATHFAST</w:t>
      </w:r>
      <w:r w:rsidRPr="006A5E94">
        <w:rPr>
          <w:sz w:val="22"/>
          <w:szCs w:val="22"/>
          <w:lang w:eastAsia="ja-JP"/>
        </w:rPr>
        <w:t>.</w:t>
      </w:r>
    </w:p>
    <w:p w:rsidR="006A5E94" w:rsidRPr="006A5E94" w:rsidRDefault="006A5E94" w:rsidP="006A5E94">
      <w:pPr>
        <w:spacing w:before="120"/>
        <w:jc w:val="both"/>
        <w:rPr>
          <w:i/>
          <w:sz w:val="22"/>
          <w:szCs w:val="22"/>
          <w:lang w:eastAsia="ja-JP"/>
        </w:rPr>
      </w:pPr>
      <w:r w:rsidRPr="006A5E94">
        <w:rPr>
          <w:i/>
          <w:sz w:val="22"/>
          <w:szCs w:val="22"/>
          <w:lang w:eastAsia="ja-JP"/>
        </w:rPr>
        <w:t>Контроль качества</w:t>
      </w:r>
    </w:p>
    <w:p w:rsidR="006A5E94" w:rsidRPr="006A5E94" w:rsidRDefault="006A5E94" w:rsidP="006A5E94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 xml:space="preserve">Для контроля качества используйте коммерческие контрольные материалы с аттестованными для реагента «PATHFAST cTnI» целевыми значениями. Контроль качества должен проводиться </w:t>
      </w:r>
      <w:r w:rsidRPr="006A5E94">
        <w:rPr>
          <w:sz w:val="22"/>
          <w:szCs w:val="22"/>
        </w:rPr>
        <w:t xml:space="preserve">после каждой калибровки для того, чтобы проверить калибровочную кривую. В дальнейшем нужно выполнять контроль качества для различных диапазонов концентрации для гарантии точности результатов. Таким образом, необходимо проводить контроль качества на двух разных уровнях </w:t>
      </w:r>
      <w:r w:rsidRPr="006A5E94">
        <w:rPr>
          <w:sz w:val="22"/>
          <w:szCs w:val="22"/>
          <w:lang w:eastAsia="ja-JP"/>
        </w:rPr>
        <w:t xml:space="preserve">контрольных </w:t>
      </w:r>
      <w:r w:rsidRPr="006A5E94">
        <w:rPr>
          <w:sz w:val="22"/>
          <w:szCs w:val="22"/>
        </w:rPr>
        <w:t xml:space="preserve">материалов. </w:t>
      </w:r>
    </w:p>
    <w:p w:rsidR="006A5E94" w:rsidRPr="006A5E94" w:rsidRDefault="006A5E94" w:rsidP="006A5E94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 xml:space="preserve">Правила </w:t>
      </w:r>
      <w:r w:rsidRPr="006A5E94">
        <w:rPr>
          <w:sz w:val="22"/>
          <w:szCs w:val="22"/>
          <w:lang w:val="en-US" w:eastAsia="ja-JP"/>
        </w:rPr>
        <w:t>GLP</w:t>
      </w:r>
      <w:r w:rsidRPr="006A5E94">
        <w:rPr>
          <w:sz w:val="22"/>
          <w:szCs w:val="22"/>
          <w:lang w:eastAsia="ja-JP"/>
        </w:rPr>
        <w:t xml:space="preserve"> (</w:t>
      </w:r>
      <w:r w:rsidRPr="006A5E94">
        <w:rPr>
          <w:sz w:val="22"/>
          <w:szCs w:val="22"/>
        </w:rPr>
        <w:t>Надлежащей лабораторной практики</w:t>
      </w:r>
      <w:r w:rsidRPr="006A5E94">
        <w:rPr>
          <w:sz w:val="22"/>
          <w:szCs w:val="22"/>
          <w:lang w:eastAsia="ja-JP"/>
        </w:rPr>
        <w:t xml:space="preserve">) рекомендуют использование соответствующего контроля качества. Рекомендуется соблюдать положения федеральных, областных и местных правил контроля качества. Если результаты контроля не соответствуют ожидаемым, не используйте результаты тестов. Повторите тест или обратитесь к вашему авторизованному дистрибьютору </w:t>
      </w:r>
      <w:r w:rsidRPr="006A5E94">
        <w:rPr>
          <w:sz w:val="22"/>
          <w:szCs w:val="22"/>
          <w:lang w:val="en-US" w:eastAsia="ja-JP"/>
        </w:rPr>
        <w:t>PATHFAST</w:t>
      </w:r>
      <w:r w:rsidRPr="006A5E94">
        <w:rPr>
          <w:sz w:val="22"/>
          <w:szCs w:val="22"/>
          <w:lang w:eastAsia="ja-JP"/>
        </w:rPr>
        <w:t xml:space="preserve"> для технической поддержки.</w:t>
      </w:r>
    </w:p>
    <w:p w:rsidR="006A5E94" w:rsidRPr="006A5E94" w:rsidRDefault="006A5E94" w:rsidP="006A5E94">
      <w:pPr>
        <w:spacing w:before="120"/>
        <w:jc w:val="both"/>
        <w:rPr>
          <w:i/>
          <w:sz w:val="22"/>
          <w:szCs w:val="22"/>
          <w:lang w:eastAsia="ja-JP"/>
        </w:rPr>
      </w:pPr>
      <w:r w:rsidRPr="006A5E94">
        <w:rPr>
          <w:i/>
          <w:sz w:val="22"/>
          <w:szCs w:val="22"/>
          <w:lang w:eastAsia="ja-JP"/>
        </w:rPr>
        <w:t>Процедура анализа</w:t>
      </w:r>
    </w:p>
    <w:p w:rsidR="006A5E94" w:rsidRPr="006A5E94" w:rsidRDefault="006A5E94" w:rsidP="006A5E94">
      <w:pPr>
        <w:numPr>
          <w:ilvl w:val="0"/>
          <w:numId w:val="14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</w:rPr>
        <w:t xml:space="preserve"> В качестве пробы должна использоваться</w:t>
      </w:r>
      <w:r w:rsidRPr="006A5E94">
        <w:rPr>
          <w:sz w:val="22"/>
          <w:szCs w:val="22"/>
          <w:lang w:eastAsia="ja-JP"/>
        </w:rPr>
        <w:t xml:space="preserve"> гепаринизированная или ЭДТА цельная кровь или плазма.</w:t>
      </w:r>
    </w:p>
    <w:p w:rsidR="006A5E94" w:rsidRPr="006A5E94" w:rsidRDefault="006A5E94" w:rsidP="006A5E94">
      <w:pPr>
        <w:numPr>
          <w:ilvl w:val="0"/>
          <w:numId w:val="14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 xml:space="preserve"> Установите картридж с реагентами в кассету для картриджей, внесите примерно 100 мкл пробы в лунку для проб на картридже, поместите кассету в прибор </w:t>
      </w:r>
      <w:r w:rsidRPr="006A5E94">
        <w:rPr>
          <w:sz w:val="22"/>
          <w:szCs w:val="22"/>
          <w:lang w:val="en-US" w:eastAsia="ja-JP"/>
        </w:rPr>
        <w:t>PATHFAST</w:t>
      </w:r>
      <w:r w:rsidRPr="006A5E94">
        <w:rPr>
          <w:sz w:val="22"/>
          <w:szCs w:val="22"/>
          <w:lang w:eastAsia="ja-JP"/>
        </w:rPr>
        <w:t xml:space="preserve"> и нажмите кнопку </w:t>
      </w:r>
      <w:r w:rsidRPr="006A5E94">
        <w:rPr>
          <w:sz w:val="22"/>
          <w:szCs w:val="22"/>
          <w:lang w:val="en-US" w:eastAsia="ja-JP"/>
        </w:rPr>
        <w:t>START</w:t>
      </w:r>
      <w:r w:rsidRPr="006A5E94">
        <w:rPr>
          <w:sz w:val="22"/>
          <w:szCs w:val="22"/>
          <w:lang w:eastAsia="ja-JP"/>
        </w:rPr>
        <w:t>.</w:t>
      </w:r>
    </w:p>
    <w:p w:rsidR="006A5E94" w:rsidRPr="006A5E94" w:rsidRDefault="006A5E94" w:rsidP="006A5E94">
      <w:pPr>
        <w:numPr>
          <w:ilvl w:val="0"/>
          <w:numId w:val="14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 xml:space="preserve"> Проведите тестирование согласно пользовательскому руководству для прибора </w:t>
      </w:r>
      <w:r w:rsidRPr="006A5E94">
        <w:rPr>
          <w:sz w:val="22"/>
          <w:szCs w:val="22"/>
          <w:lang w:val="en-US" w:eastAsia="ja-JP"/>
        </w:rPr>
        <w:t>PATHFAST</w:t>
      </w:r>
      <w:r w:rsidRPr="006A5E94">
        <w:rPr>
          <w:sz w:val="22"/>
          <w:szCs w:val="22"/>
          <w:lang w:eastAsia="ja-JP"/>
        </w:rPr>
        <w:t>.</w:t>
      </w:r>
    </w:p>
    <w:p w:rsidR="006A5E94" w:rsidRPr="006A5E94" w:rsidRDefault="006A5E94" w:rsidP="006A5E94">
      <w:pPr>
        <w:spacing w:before="120"/>
        <w:jc w:val="both"/>
        <w:rPr>
          <w:sz w:val="22"/>
          <w:szCs w:val="22"/>
          <w:lang w:val="en-US" w:eastAsia="ja-JP"/>
        </w:rPr>
      </w:pPr>
      <w:r w:rsidRPr="006A5E94">
        <w:rPr>
          <w:sz w:val="22"/>
          <w:szCs w:val="22"/>
          <w:lang w:eastAsia="ja-JP"/>
        </w:rPr>
        <w:t>Примечания</w:t>
      </w:r>
      <w:r w:rsidRPr="006A5E94">
        <w:rPr>
          <w:sz w:val="22"/>
          <w:szCs w:val="22"/>
          <w:lang w:val="en-US" w:eastAsia="ja-JP"/>
        </w:rPr>
        <w:t>:</w:t>
      </w:r>
    </w:p>
    <w:p w:rsidR="006A5E94" w:rsidRPr="006A5E94" w:rsidRDefault="006A5E94" w:rsidP="006A5E94">
      <w:pPr>
        <w:numPr>
          <w:ilvl w:val="0"/>
          <w:numId w:val="16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 xml:space="preserve"> При использовании цельной крови ввод значения гематокрита является дополнительной опцией в приборе. Процедура описана в пользовательском руководстве для прибора </w:t>
      </w:r>
      <w:r w:rsidRPr="006A5E94">
        <w:rPr>
          <w:sz w:val="22"/>
          <w:szCs w:val="22"/>
          <w:lang w:val="en-US" w:eastAsia="ja-JP"/>
        </w:rPr>
        <w:t>PATHFAST</w:t>
      </w:r>
      <w:r w:rsidRPr="006A5E94">
        <w:rPr>
          <w:sz w:val="22"/>
          <w:szCs w:val="22"/>
          <w:lang w:eastAsia="ja-JP"/>
        </w:rPr>
        <w:t>.</w:t>
      </w:r>
    </w:p>
    <w:p w:rsidR="006A5E94" w:rsidRPr="006A5E94" w:rsidRDefault="006A5E94" w:rsidP="006A5E94">
      <w:pPr>
        <w:numPr>
          <w:ilvl w:val="0"/>
          <w:numId w:val="16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 xml:space="preserve"> Пробы с концентрацией сTnI &gt;50 нг/мл следует развести разбавителем для проб или физраствором и протестировать повторно, если необходим точный результат.</w:t>
      </w:r>
    </w:p>
    <w:p w:rsidR="006A5E94" w:rsidRPr="006A5E94" w:rsidRDefault="006A5E94" w:rsidP="006A5E94">
      <w:pPr>
        <w:spacing w:before="120"/>
        <w:jc w:val="both"/>
        <w:rPr>
          <w:i/>
          <w:iCs/>
          <w:sz w:val="22"/>
          <w:szCs w:val="22"/>
          <w:lang w:eastAsia="ja-JP"/>
        </w:rPr>
      </w:pPr>
      <w:r w:rsidRPr="006A5E94">
        <w:rPr>
          <w:i/>
          <w:iCs/>
          <w:sz w:val="22"/>
          <w:szCs w:val="22"/>
          <w:lang w:eastAsia="ja-JP"/>
        </w:rPr>
        <w:t>Ожидаемые уровни</w:t>
      </w:r>
    </w:p>
    <w:p w:rsidR="006A5E94" w:rsidRPr="006A5E94" w:rsidRDefault="00251938" w:rsidP="006A5E94">
      <w:pPr>
        <w:jc w:val="both"/>
        <w:rPr>
          <w:sz w:val="22"/>
          <w:szCs w:val="22"/>
          <w:lang w:eastAsia="ja-JP"/>
        </w:rPr>
      </w:pPr>
      <w:r>
        <w:rPr>
          <w:noProof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255.7pt;margin-top:5.85pt;width:236pt;height:176.85pt;z-index:1">
            <v:imagedata r:id="rId7" o:title=""/>
            <w10:wrap type="square"/>
          </v:shape>
        </w:pict>
      </w:r>
      <w:r w:rsidR="006A5E94" w:rsidRPr="006A5E94">
        <w:rPr>
          <w:sz w:val="22"/>
          <w:szCs w:val="22"/>
          <w:lang w:eastAsia="ja-JP"/>
        </w:rPr>
        <w:t xml:space="preserve">Оценка верхнего референтного уровня </w:t>
      </w:r>
      <w:r w:rsidR="006A5E94" w:rsidRPr="006A5E94">
        <w:rPr>
          <w:sz w:val="22"/>
          <w:szCs w:val="22"/>
          <w:lang w:val="en-US" w:eastAsia="ja-JP"/>
        </w:rPr>
        <w:t>cTnI</w:t>
      </w:r>
      <w:r w:rsidR="006A5E94" w:rsidRPr="006A5E94">
        <w:rPr>
          <w:sz w:val="22"/>
          <w:szCs w:val="22"/>
          <w:lang w:eastAsia="ja-JP"/>
        </w:rPr>
        <w:t xml:space="preserve"> проводилась согласно процедуре (12) на пробах плазмы (литий-гепарин) от 119 здоровых индивидов, у которых сердечно-сосудистые заболевания были исключены при магнитно-резонансной томографии сердца, в том числе с добутаминовым стресс-тестом. Пробы плазмы были измерены трижды с помощью реагента PATHFAST cTnI и все полученные результаты были ниже 0,020 нг/мл (см. на графике профиль прецизионности). Этот результат утверждает верхний референтный предел (99-я процентиль) для cTnI в 0,020 нг/мл. Самая низкая концентрация с CV ≤ 10% (LoQ) для реагента PATHFAST cTnI была 0,0031 нг/мл (см. на графике профиль прецизионности в соответствии с NCCLS).</w:t>
      </w:r>
    </w:p>
    <w:p w:rsidR="006A5E94" w:rsidRPr="006A5E94" w:rsidRDefault="006A5E94" w:rsidP="006A5E94">
      <w:pPr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>Первичный результат ниже 99-ой процентили в первые часы после появления симптомов не исключает инфаркта миокарда. Необходимо повторить тестирование на пробах, взятых через определенные промежутки времени (6-12 час) после первого анализа (7).</w:t>
      </w:r>
    </w:p>
    <w:p w:rsidR="006A5E94" w:rsidRPr="006A5E94" w:rsidRDefault="006A5E94" w:rsidP="006A5E94">
      <w:pPr>
        <w:spacing w:before="120"/>
        <w:jc w:val="both"/>
        <w:rPr>
          <w:i/>
          <w:iCs/>
          <w:sz w:val="22"/>
          <w:szCs w:val="22"/>
          <w:lang w:eastAsia="ja-JP"/>
        </w:rPr>
      </w:pPr>
      <w:r w:rsidRPr="006A5E94">
        <w:rPr>
          <w:i/>
          <w:iCs/>
          <w:sz w:val="22"/>
          <w:szCs w:val="22"/>
          <w:lang w:eastAsia="ja-JP"/>
        </w:rPr>
        <w:t xml:space="preserve">Специфические рабочие характеристики </w:t>
      </w:r>
    </w:p>
    <w:p w:rsidR="006A5E94" w:rsidRPr="006A5E94" w:rsidRDefault="006A5E94" w:rsidP="006A5E94">
      <w:pPr>
        <w:numPr>
          <w:ilvl w:val="0"/>
          <w:numId w:val="20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  <w:lang w:val="en-US" w:eastAsia="ja-JP"/>
        </w:rPr>
      </w:pPr>
      <w:r w:rsidRPr="006A5E94">
        <w:rPr>
          <w:sz w:val="22"/>
          <w:szCs w:val="22"/>
          <w:lang w:eastAsia="ja-JP"/>
        </w:rPr>
        <w:t xml:space="preserve"> Диапазон результатов</w:t>
      </w:r>
      <w:r w:rsidRPr="006A5E94">
        <w:rPr>
          <w:sz w:val="22"/>
          <w:szCs w:val="22"/>
          <w:lang w:val="en-US" w:eastAsia="ja-JP"/>
        </w:rPr>
        <w:t xml:space="preserve">: </w:t>
      </w:r>
      <w:r w:rsidRPr="006A5E94">
        <w:rPr>
          <w:sz w:val="22"/>
          <w:szCs w:val="22"/>
          <w:lang w:eastAsia="ja-JP"/>
        </w:rPr>
        <w:t>0,001</w:t>
      </w:r>
      <w:r w:rsidRPr="006A5E94">
        <w:rPr>
          <w:sz w:val="22"/>
          <w:szCs w:val="22"/>
          <w:lang w:val="en-US" w:eastAsia="ja-JP"/>
        </w:rPr>
        <w:t xml:space="preserve">-50 </w:t>
      </w:r>
      <w:r w:rsidRPr="006A5E94">
        <w:rPr>
          <w:sz w:val="22"/>
          <w:szCs w:val="22"/>
          <w:lang w:eastAsia="ja-JP"/>
        </w:rPr>
        <w:t>нг</w:t>
      </w:r>
      <w:r w:rsidRPr="006A5E94">
        <w:rPr>
          <w:sz w:val="22"/>
          <w:szCs w:val="22"/>
          <w:lang w:val="en-US" w:eastAsia="ja-JP"/>
        </w:rPr>
        <w:t>/</w:t>
      </w:r>
      <w:r w:rsidRPr="006A5E94">
        <w:rPr>
          <w:sz w:val="22"/>
          <w:szCs w:val="22"/>
          <w:lang w:eastAsia="ja-JP"/>
        </w:rPr>
        <w:t>мл</w:t>
      </w:r>
      <w:r w:rsidRPr="006A5E94">
        <w:rPr>
          <w:sz w:val="22"/>
          <w:szCs w:val="22"/>
          <w:lang w:val="en-US" w:eastAsia="ja-JP"/>
        </w:rPr>
        <w:t>.</w:t>
      </w:r>
    </w:p>
    <w:p w:rsidR="006A5E94" w:rsidRPr="006A5E94" w:rsidRDefault="006A5E94" w:rsidP="006A5E94">
      <w:pPr>
        <w:numPr>
          <w:ilvl w:val="0"/>
          <w:numId w:val="20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 xml:space="preserve"> Сравнение с другими методами (пробы плазмы) </w:t>
      </w:r>
    </w:p>
    <w:p w:rsidR="006A5E94" w:rsidRPr="006A5E94" w:rsidRDefault="006A5E94" w:rsidP="006A5E94">
      <w:pPr>
        <w:tabs>
          <w:tab w:val="num" w:pos="180"/>
        </w:tabs>
        <w:ind w:left="18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val="en-US" w:eastAsia="ja-JP"/>
        </w:rPr>
        <w:t>y</w:t>
      </w:r>
      <w:r w:rsidRPr="006A5E94">
        <w:rPr>
          <w:sz w:val="22"/>
          <w:szCs w:val="22"/>
          <w:lang w:eastAsia="ja-JP"/>
        </w:rPr>
        <w:t>=0,37</w:t>
      </w:r>
      <w:r w:rsidRPr="006A5E94">
        <w:rPr>
          <w:sz w:val="22"/>
          <w:szCs w:val="22"/>
          <w:lang w:val="en-US" w:eastAsia="ja-JP"/>
        </w:rPr>
        <w:t>x</w:t>
      </w:r>
      <w:r w:rsidRPr="006A5E94">
        <w:rPr>
          <w:sz w:val="22"/>
          <w:szCs w:val="22"/>
          <w:lang w:eastAsia="ja-JP"/>
        </w:rPr>
        <w:t xml:space="preserve"> – 0,007, </w:t>
      </w:r>
      <w:r w:rsidRPr="006A5E94">
        <w:rPr>
          <w:sz w:val="22"/>
          <w:szCs w:val="22"/>
          <w:lang w:val="en-US" w:eastAsia="ja-JP"/>
        </w:rPr>
        <w:t>r</w:t>
      </w:r>
      <w:r w:rsidRPr="006A5E94">
        <w:rPr>
          <w:sz w:val="22"/>
          <w:szCs w:val="22"/>
          <w:lang w:eastAsia="ja-JP"/>
        </w:rPr>
        <w:t xml:space="preserve">=0,975, </w:t>
      </w:r>
      <w:r w:rsidRPr="006A5E94">
        <w:rPr>
          <w:sz w:val="22"/>
          <w:szCs w:val="22"/>
          <w:lang w:val="en-US" w:eastAsia="ja-JP"/>
        </w:rPr>
        <w:t>n</w:t>
      </w:r>
      <w:r w:rsidRPr="006A5E94">
        <w:rPr>
          <w:sz w:val="22"/>
          <w:szCs w:val="22"/>
          <w:lang w:eastAsia="ja-JP"/>
        </w:rPr>
        <w:t xml:space="preserve">=80 </w:t>
      </w:r>
    </w:p>
    <w:p w:rsidR="006A5E94" w:rsidRPr="006A5E94" w:rsidRDefault="006A5E94" w:rsidP="006A5E94">
      <w:pPr>
        <w:tabs>
          <w:tab w:val="num" w:pos="180"/>
        </w:tabs>
        <w:ind w:left="18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>(</w:t>
      </w:r>
      <w:r w:rsidRPr="006A5E94">
        <w:rPr>
          <w:sz w:val="22"/>
          <w:szCs w:val="22"/>
          <w:lang w:val="en-US" w:eastAsia="ja-JP"/>
        </w:rPr>
        <w:t>y</w:t>
      </w:r>
      <w:r w:rsidRPr="006A5E94">
        <w:rPr>
          <w:sz w:val="22"/>
          <w:szCs w:val="22"/>
          <w:lang w:eastAsia="ja-JP"/>
        </w:rPr>
        <w:t xml:space="preserve"> – данный метод, </w:t>
      </w:r>
      <w:r w:rsidRPr="006A5E94">
        <w:rPr>
          <w:sz w:val="22"/>
          <w:szCs w:val="22"/>
          <w:lang w:val="en-US" w:eastAsia="ja-JP"/>
        </w:rPr>
        <w:t>x</w:t>
      </w:r>
      <w:r w:rsidRPr="006A5E94">
        <w:rPr>
          <w:sz w:val="22"/>
          <w:szCs w:val="22"/>
          <w:lang w:eastAsia="ja-JP"/>
        </w:rPr>
        <w:t xml:space="preserve"> – </w:t>
      </w:r>
      <w:r w:rsidRPr="006A5E94">
        <w:rPr>
          <w:sz w:val="22"/>
          <w:szCs w:val="22"/>
          <w:lang w:val="en-US" w:eastAsia="ja-JP"/>
        </w:rPr>
        <w:t>Dade</w:t>
      </w:r>
      <w:r w:rsidRPr="006A5E94">
        <w:rPr>
          <w:sz w:val="22"/>
          <w:szCs w:val="22"/>
          <w:lang w:eastAsia="ja-JP"/>
        </w:rPr>
        <w:t xml:space="preserve"> </w:t>
      </w:r>
      <w:r w:rsidRPr="006A5E94">
        <w:rPr>
          <w:sz w:val="22"/>
          <w:szCs w:val="22"/>
          <w:lang w:val="en-US" w:eastAsia="ja-JP"/>
        </w:rPr>
        <w:t>Behring</w:t>
      </w:r>
      <w:r w:rsidRPr="006A5E94">
        <w:rPr>
          <w:sz w:val="22"/>
          <w:szCs w:val="22"/>
          <w:lang w:eastAsia="ja-JP"/>
        </w:rPr>
        <w:t xml:space="preserve"> </w:t>
      </w:r>
      <w:r w:rsidRPr="006A5E94">
        <w:rPr>
          <w:sz w:val="22"/>
          <w:szCs w:val="22"/>
          <w:lang w:val="en-US" w:eastAsia="ja-JP"/>
        </w:rPr>
        <w:t>Stratus</w:t>
      </w:r>
      <w:r w:rsidRPr="006A5E94">
        <w:rPr>
          <w:sz w:val="22"/>
          <w:szCs w:val="22"/>
          <w:lang w:eastAsia="ja-JP"/>
        </w:rPr>
        <w:t xml:space="preserve">® </w:t>
      </w:r>
      <w:r w:rsidRPr="006A5E94">
        <w:rPr>
          <w:sz w:val="22"/>
          <w:szCs w:val="22"/>
          <w:lang w:val="en-US" w:eastAsia="ja-JP"/>
        </w:rPr>
        <w:t>CS</w:t>
      </w:r>
      <w:r w:rsidRPr="006A5E94">
        <w:rPr>
          <w:sz w:val="22"/>
          <w:szCs w:val="22"/>
          <w:lang w:eastAsia="ja-JP"/>
        </w:rPr>
        <w:t xml:space="preserve"> сTnI (</w:t>
      </w:r>
      <w:r w:rsidRPr="006A5E94">
        <w:rPr>
          <w:sz w:val="22"/>
          <w:szCs w:val="22"/>
          <w:lang w:val="en-US" w:eastAsia="ja-JP"/>
        </w:rPr>
        <w:t>Stratus</w:t>
      </w:r>
      <w:r w:rsidRPr="006A5E94">
        <w:rPr>
          <w:sz w:val="22"/>
          <w:szCs w:val="22"/>
          <w:lang w:eastAsia="ja-JP"/>
        </w:rPr>
        <w:t xml:space="preserve">® – </w:t>
      </w:r>
      <w:r w:rsidRPr="006A5E94">
        <w:rPr>
          <w:sz w:val="22"/>
          <w:szCs w:val="22"/>
        </w:rPr>
        <w:t xml:space="preserve">торговая марка </w:t>
      </w:r>
      <w:r w:rsidRPr="006A5E94">
        <w:rPr>
          <w:sz w:val="22"/>
          <w:szCs w:val="22"/>
          <w:lang w:val="en-US" w:eastAsia="ja-JP"/>
        </w:rPr>
        <w:t>Dade</w:t>
      </w:r>
      <w:r w:rsidRPr="006A5E94">
        <w:rPr>
          <w:sz w:val="22"/>
          <w:szCs w:val="22"/>
          <w:lang w:eastAsia="ja-JP"/>
        </w:rPr>
        <w:t xml:space="preserve"> </w:t>
      </w:r>
      <w:r w:rsidRPr="006A5E94">
        <w:rPr>
          <w:sz w:val="22"/>
          <w:szCs w:val="22"/>
          <w:lang w:val="en-US" w:eastAsia="ja-JP"/>
        </w:rPr>
        <w:t>Behring</w:t>
      </w:r>
      <w:r w:rsidRPr="006A5E94">
        <w:rPr>
          <w:sz w:val="22"/>
          <w:szCs w:val="22"/>
          <w:lang w:eastAsia="ja-JP"/>
        </w:rPr>
        <w:t xml:space="preserve"> </w:t>
      </w:r>
      <w:r w:rsidRPr="006A5E94">
        <w:rPr>
          <w:sz w:val="22"/>
          <w:szCs w:val="22"/>
          <w:lang w:val="en-US" w:eastAsia="ja-JP"/>
        </w:rPr>
        <w:t>Inc</w:t>
      </w:r>
      <w:r w:rsidRPr="006A5E94">
        <w:rPr>
          <w:sz w:val="22"/>
          <w:szCs w:val="22"/>
          <w:lang w:eastAsia="ja-JP"/>
        </w:rPr>
        <w:t xml:space="preserve">.), </w:t>
      </w:r>
      <w:r w:rsidRPr="006A5E94">
        <w:rPr>
          <w:sz w:val="22"/>
          <w:szCs w:val="22"/>
          <w:lang w:val="en-US" w:eastAsia="ja-JP"/>
        </w:rPr>
        <w:t>n</w:t>
      </w:r>
      <w:r w:rsidRPr="006A5E94">
        <w:rPr>
          <w:sz w:val="22"/>
          <w:szCs w:val="22"/>
          <w:lang w:eastAsia="ja-JP"/>
        </w:rPr>
        <w:t xml:space="preserve"> – количество испытаний).</w:t>
      </w:r>
    </w:p>
    <w:p w:rsidR="006A5E94" w:rsidRPr="006A5E94" w:rsidRDefault="006A5E94" w:rsidP="006A5E94">
      <w:pPr>
        <w:numPr>
          <w:ilvl w:val="0"/>
          <w:numId w:val="20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</w:rPr>
        <w:t xml:space="preserve"> Корреляция между результатами </w:t>
      </w:r>
      <w:r w:rsidRPr="006A5E94">
        <w:rPr>
          <w:sz w:val="22"/>
          <w:szCs w:val="22"/>
          <w:lang w:val="en-US" w:eastAsia="ja-JP"/>
        </w:rPr>
        <w:t>PATHFAST</w:t>
      </w:r>
      <w:r w:rsidRPr="006A5E94">
        <w:rPr>
          <w:sz w:val="22"/>
          <w:szCs w:val="22"/>
          <w:lang w:eastAsia="ja-JP"/>
        </w:rPr>
        <w:t xml:space="preserve"> </w:t>
      </w:r>
      <w:r w:rsidRPr="006A5E94">
        <w:rPr>
          <w:sz w:val="22"/>
          <w:szCs w:val="22"/>
        </w:rPr>
        <w:t xml:space="preserve">по цельной крови и плазме </w:t>
      </w:r>
    </w:p>
    <w:p w:rsidR="006A5E94" w:rsidRPr="006A5E94" w:rsidRDefault="006A5E94" w:rsidP="006A5E94">
      <w:pPr>
        <w:tabs>
          <w:tab w:val="num" w:pos="180"/>
        </w:tabs>
        <w:ind w:left="18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val="en-US" w:eastAsia="ja-JP"/>
        </w:rPr>
        <w:t>y</w:t>
      </w:r>
      <w:r w:rsidRPr="006A5E94">
        <w:rPr>
          <w:sz w:val="22"/>
          <w:szCs w:val="22"/>
          <w:lang w:eastAsia="ja-JP"/>
        </w:rPr>
        <w:t>=1,00</w:t>
      </w:r>
      <w:r w:rsidRPr="006A5E94">
        <w:rPr>
          <w:sz w:val="22"/>
          <w:szCs w:val="22"/>
          <w:lang w:val="en-US" w:eastAsia="ja-JP"/>
        </w:rPr>
        <w:t>x</w:t>
      </w:r>
      <w:r w:rsidRPr="006A5E94">
        <w:rPr>
          <w:sz w:val="22"/>
          <w:szCs w:val="22"/>
          <w:lang w:eastAsia="ja-JP"/>
        </w:rPr>
        <w:t xml:space="preserve"> + 0,01, </w:t>
      </w:r>
      <w:r w:rsidRPr="006A5E94">
        <w:rPr>
          <w:sz w:val="22"/>
          <w:szCs w:val="22"/>
          <w:lang w:val="en-US" w:eastAsia="ja-JP"/>
        </w:rPr>
        <w:t>r</w:t>
      </w:r>
      <w:r w:rsidRPr="006A5E94">
        <w:rPr>
          <w:sz w:val="22"/>
          <w:szCs w:val="22"/>
          <w:lang w:eastAsia="ja-JP"/>
        </w:rPr>
        <w:t xml:space="preserve">=0,999, </w:t>
      </w:r>
      <w:r w:rsidRPr="006A5E94">
        <w:rPr>
          <w:sz w:val="22"/>
          <w:szCs w:val="22"/>
          <w:lang w:val="en-US" w:eastAsia="ja-JP"/>
        </w:rPr>
        <w:t>n</w:t>
      </w:r>
      <w:r w:rsidRPr="006A5E94">
        <w:rPr>
          <w:sz w:val="22"/>
          <w:szCs w:val="22"/>
          <w:lang w:eastAsia="ja-JP"/>
        </w:rPr>
        <w:t xml:space="preserve">=91 </w:t>
      </w:r>
    </w:p>
    <w:p w:rsidR="006A5E94" w:rsidRPr="006A5E94" w:rsidRDefault="006A5E94" w:rsidP="006A5E94">
      <w:pPr>
        <w:tabs>
          <w:tab w:val="num" w:pos="180"/>
        </w:tabs>
        <w:ind w:left="18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>(</w:t>
      </w:r>
      <w:r w:rsidRPr="006A5E94">
        <w:rPr>
          <w:sz w:val="22"/>
          <w:szCs w:val="22"/>
          <w:lang w:val="en-US" w:eastAsia="ja-JP"/>
        </w:rPr>
        <w:t>y</w:t>
      </w:r>
      <w:r w:rsidRPr="006A5E94">
        <w:rPr>
          <w:sz w:val="22"/>
          <w:szCs w:val="22"/>
          <w:lang w:eastAsia="ja-JP"/>
        </w:rPr>
        <w:t xml:space="preserve"> – цельная кровь, </w:t>
      </w:r>
      <w:r w:rsidRPr="006A5E94">
        <w:rPr>
          <w:sz w:val="22"/>
          <w:szCs w:val="22"/>
          <w:lang w:val="en-US" w:eastAsia="ja-JP"/>
        </w:rPr>
        <w:t>x</w:t>
      </w:r>
      <w:r w:rsidRPr="006A5E94">
        <w:rPr>
          <w:sz w:val="22"/>
          <w:szCs w:val="22"/>
          <w:lang w:eastAsia="ja-JP"/>
        </w:rPr>
        <w:t xml:space="preserve"> – плазма)</w:t>
      </w:r>
    </w:p>
    <w:p w:rsidR="006A5E94" w:rsidRPr="006A5E94" w:rsidRDefault="006A5E94" w:rsidP="006A5E94">
      <w:pPr>
        <w:numPr>
          <w:ilvl w:val="0"/>
          <w:numId w:val="20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  <w:lang w:val="en-US" w:eastAsia="ja-JP"/>
        </w:rPr>
      </w:pPr>
      <w:r w:rsidRPr="006A5E94">
        <w:rPr>
          <w:sz w:val="22"/>
          <w:szCs w:val="22"/>
          <w:lang w:eastAsia="ja-JP"/>
        </w:rPr>
        <w:t xml:space="preserve"> Стандартизация</w:t>
      </w:r>
    </w:p>
    <w:p w:rsidR="006A5E94" w:rsidRPr="006A5E94" w:rsidRDefault="006A5E94" w:rsidP="006A5E94">
      <w:pPr>
        <w:tabs>
          <w:tab w:val="num" w:pos="180"/>
        </w:tabs>
        <w:ind w:left="18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 xml:space="preserve">Калибраторы для реагента PATHFAST cTnI </w:t>
      </w:r>
      <w:r w:rsidRPr="006A5E94">
        <w:rPr>
          <w:sz w:val="22"/>
          <w:szCs w:val="22"/>
        </w:rPr>
        <w:t xml:space="preserve">соотносятся с </w:t>
      </w:r>
      <w:r w:rsidRPr="006A5E94">
        <w:rPr>
          <w:sz w:val="22"/>
          <w:szCs w:val="22"/>
          <w:lang w:eastAsia="ja-JP"/>
        </w:rPr>
        <w:t xml:space="preserve">сертифицированным референтным материалом сердечного тропонинового комплекса человека SRM2921 Национального Института Стандартов и Технологии (NIST, США) с сертифицированной концентрацией сердечного тропонина I человека. </w:t>
      </w:r>
    </w:p>
    <w:p w:rsidR="006A5E94" w:rsidRPr="006A5E94" w:rsidRDefault="006A5E94" w:rsidP="006A5E94">
      <w:pPr>
        <w:numPr>
          <w:ilvl w:val="0"/>
          <w:numId w:val="20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  <w:lang w:val="en-US" w:eastAsia="ja-JP"/>
        </w:rPr>
      </w:pPr>
      <w:r w:rsidRPr="006A5E94">
        <w:rPr>
          <w:sz w:val="22"/>
          <w:szCs w:val="22"/>
          <w:lang w:eastAsia="ja-JP"/>
        </w:rPr>
        <w:t xml:space="preserve"> Прецизионность </w:t>
      </w:r>
    </w:p>
    <w:p w:rsidR="006A5E94" w:rsidRPr="006A5E94" w:rsidRDefault="006A5E94" w:rsidP="006A5E94">
      <w:pPr>
        <w:ind w:left="180"/>
        <w:jc w:val="both"/>
        <w:rPr>
          <w:sz w:val="22"/>
          <w:szCs w:val="22"/>
          <w:lang w:val="en-US" w:eastAsia="ja-JP"/>
        </w:rPr>
      </w:pPr>
      <w:r w:rsidRPr="006A5E94">
        <w:rPr>
          <w:sz w:val="22"/>
          <w:szCs w:val="22"/>
          <w:lang w:eastAsia="ja-JP"/>
        </w:rPr>
        <w:t xml:space="preserve">Воспроизводимость определялась на 3 контрольных пробах, тестируемых в дублях </w:t>
      </w:r>
      <w:r w:rsidRPr="006A5E94">
        <w:rPr>
          <w:sz w:val="22"/>
          <w:szCs w:val="22"/>
        </w:rPr>
        <w:t xml:space="preserve">в течение 20 случайных дней. </w:t>
      </w:r>
      <w:r w:rsidRPr="006A5E94">
        <w:rPr>
          <w:sz w:val="22"/>
          <w:szCs w:val="22"/>
          <w:lang w:eastAsia="ja-JP"/>
        </w:rPr>
        <w:t xml:space="preserve">Внутритестовые и </w:t>
      </w:r>
      <w:r w:rsidRPr="006A5E94">
        <w:rPr>
          <w:sz w:val="22"/>
          <w:szCs w:val="22"/>
        </w:rPr>
        <w:t xml:space="preserve">общие </w:t>
      </w:r>
      <w:r w:rsidRPr="006A5E94">
        <w:rPr>
          <w:sz w:val="22"/>
          <w:szCs w:val="22"/>
          <w:lang w:eastAsia="ja-JP"/>
        </w:rPr>
        <w:t xml:space="preserve">стандартные отклонения рассчитывались по протоколу </w:t>
      </w:r>
      <w:r w:rsidRPr="006A5E94">
        <w:rPr>
          <w:sz w:val="22"/>
          <w:szCs w:val="22"/>
          <w:lang w:val="en-US" w:eastAsia="ja-JP"/>
        </w:rPr>
        <w:t>NCCLS</w:t>
      </w:r>
      <w:r w:rsidRPr="006A5E94">
        <w:rPr>
          <w:sz w:val="22"/>
          <w:szCs w:val="22"/>
          <w:lang w:eastAsia="ja-JP"/>
        </w:rPr>
        <w:t xml:space="preserve"> </w:t>
      </w:r>
      <w:r w:rsidRPr="006A5E94">
        <w:rPr>
          <w:sz w:val="22"/>
          <w:szCs w:val="22"/>
          <w:lang w:val="en-US" w:eastAsia="ja-JP"/>
        </w:rPr>
        <w:t>EP</w:t>
      </w:r>
      <w:r w:rsidRPr="006A5E94">
        <w:rPr>
          <w:sz w:val="22"/>
          <w:szCs w:val="22"/>
          <w:lang w:eastAsia="ja-JP"/>
        </w:rPr>
        <w:t>-5</w:t>
      </w:r>
      <w:r w:rsidRPr="006A5E94">
        <w:rPr>
          <w:sz w:val="22"/>
          <w:szCs w:val="22"/>
          <w:lang w:val="en-US" w:eastAsia="ja-JP"/>
        </w:rPr>
        <w:t>A</w:t>
      </w:r>
      <w:r w:rsidRPr="006A5E94">
        <w:rPr>
          <w:sz w:val="22"/>
          <w:szCs w:val="22"/>
          <w:lang w:eastAsia="ja-JP"/>
        </w:rPr>
        <w:t>. Были получены следующие результаты.</w:t>
      </w:r>
    </w:p>
    <w:tbl>
      <w:tblPr>
        <w:tblpPr w:leftFromText="180" w:rightFromText="180" w:vertAnchor="text" w:horzAnchor="margin" w:tblpX="288" w:tblpY="58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88"/>
        <w:gridCol w:w="1080"/>
        <w:gridCol w:w="1620"/>
        <w:gridCol w:w="1260"/>
        <w:gridCol w:w="1620"/>
        <w:gridCol w:w="1080"/>
      </w:tblGrid>
      <w:tr w:rsidR="006A5E94" w:rsidRPr="006A5E94" w:rsidTr="00F7403F">
        <w:tc>
          <w:tcPr>
            <w:tcW w:w="2988" w:type="dxa"/>
            <w:vMerge w:val="restart"/>
          </w:tcPr>
          <w:p w:rsidR="006A5E94" w:rsidRPr="006A5E94" w:rsidRDefault="006A5E94" w:rsidP="00F7403F">
            <w:pPr>
              <w:pStyle w:val="a8"/>
              <w:jc w:val="both"/>
              <w:rPr>
                <w:rFonts w:ascii="Times New Roman" w:hAnsi="Times New Roman"/>
              </w:rPr>
            </w:pPr>
            <w:r w:rsidRPr="006A5E94">
              <w:rPr>
                <w:rFonts w:ascii="Times New Roman" w:hAnsi="Times New Roman"/>
              </w:rPr>
              <w:t>Проба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6A5E94" w:rsidRPr="006A5E94" w:rsidRDefault="006A5E94" w:rsidP="00F7403F">
            <w:pPr>
              <w:pStyle w:val="a8"/>
              <w:jc w:val="both"/>
              <w:rPr>
                <w:rFonts w:ascii="Times New Roman" w:hAnsi="Times New Roman"/>
              </w:rPr>
            </w:pPr>
            <w:r w:rsidRPr="006A5E94">
              <w:rPr>
                <w:rFonts w:ascii="Times New Roman" w:hAnsi="Times New Roman"/>
              </w:rPr>
              <w:t>Среднее (нг/мл)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6A5E94" w:rsidRPr="006A5E94" w:rsidRDefault="006A5E94" w:rsidP="00F7403F">
            <w:pPr>
              <w:jc w:val="center"/>
              <w:rPr>
                <w:sz w:val="22"/>
                <w:szCs w:val="22"/>
                <w:lang w:eastAsia="ja-JP"/>
              </w:rPr>
            </w:pPr>
            <w:r w:rsidRPr="006A5E94">
              <w:rPr>
                <w:sz w:val="22"/>
                <w:szCs w:val="22"/>
              </w:rPr>
              <w:t>Внутритестовая точность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</w:tcPr>
          <w:p w:rsidR="006A5E94" w:rsidRPr="006A5E94" w:rsidRDefault="006A5E94" w:rsidP="00F7403F">
            <w:pPr>
              <w:jc w:val="center"/>
              <w:rPr>
                <w:sz w:val="22"/>
                <w:szCs w:val="22"/>
                <w:lang w:eastAsia="ja-JP"/>
              </w:rPr>
            </w:pPr>
            <w:r w:rsidRPr="006A5E94">
              <w:rPr>
                <w:sz w:val="22"/>
                <w:szCs w:val="22"/>
              </w:rPr>
              <w:t>Общая точность</w:t>
            </w:r>
          </w:p>
        </w:tc>
      </w:tr>
      <w:tr w:rsidR="006A5E94" w:rsidRPr="006A5E94" w:rsidTr="00F7403F">
        <w:tc>
          <w:tcPr>
            <w:tcW w:w="2988" w:type="dxa"/>
            <w:vMerge/>
          </w:tcPr>
          <w:p w:rsidR="006A5E94" w:rsidRPr="006A5E94" w:rsidRDefault="006A5E94" w:rsidP="00F7403F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6A5E94" w:rsidRPr="006A5E94" w:rsidRDefault="006A5E94" w:rsidP="00F7403F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A5E94" w:rsidRPr="006A5E94" w:rsidRDefault="006A5E94" w:rsidP="00F7403F">
            <w:pPr>
              <w:jc w:val="center"/>
              <w:rPr>
                <w:sz w:val="22"/>
                <w:szCs w:val="22"/>
                <w:lang w:eastAsia="ja-JP"/>
              </w:rPr>
            </w:pPr>
            <w:r w:rsidRPr="006A5E94">
              <w:rPr>
                <w:sz w:val="22"/>
                <w:szCs w:val="22"/>
                <w:lang w:val="en-US"/>
              </w:rPr>
              <w:t>SD</w:t>
            </w:r>
            <w:r w:rsidRPr="006A5E94">
              <w:rPr>
                <w:sz w:val="22"/>
                <w:szCs w:val="22"/>
              </w:rPr>
              <w:t xml:space="preserve"> (нг/мл)</w:t>
            </w:r>
          </w:p>
        </w:tc>
        <w:tc>
          <w:tcPr>
            <w:tcW w:w="1260" w:type="dxa"/>
          </w:tcPr>
          <w:p w:rsidR="006A5E94" w:rsidRPr="006A5E94" w:rsidRDefault="006A5E94" w:rsidP="00F7403F">
            <w:pPr>
              <w:jc w:val="center"/>
              <w:rPr>
                <w:sz w:val="22"/>
                <w:szCs w:val="22"/>
                <w:lang w:eastAsia="ja-JP"/>
              </w:rPr>
            </w:pPr>
            <w:r w:rsidRPr="006A5E94">
              <w:rPr>
                <w:sz w:val="22"/>
                <w:szCs w:val="22"/>
                <w:lang w:val="en-US"/>
              </w:rPr>
              <w:t>CV</w:t>
            </w:r>
            <w:r w:rsidRPr="006A5E94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620" w:type="dxa"/>
          </w:tcPr>
          <w:p w:rsidR="006A5E94" w:rsidRPr="006A5E94" w:rsidRDefault="006A5E94" w:rsidP="00F7403F">
            <w:pPr>
              <w:jc w:val="center"/>
              <w:rPr>
                <w:sz w:val="22"/>
                <w:szCs w:val="22"/>
                <w:lang w:eastAsia="ja-JP"/>
              </w:rPr>
            </w:pPr>
            <w:r w:rsidRPr="006A5E94">
              <w:rPr>
                <w:sz w:val="22"/>
                <w:szCs w:val="22"/>
                <w:lang w:val="en-US"/>
              </w:rPr>
              <w:t>SD</w:t>
            </w:r>
            <w:r w:rsidRPr="006A5E94">
              <w:rPr>
                <w:sz w:val="22"/>
                <w:szCs w:val="22"/>
              </w:rPr>
              <w:t xml:space="preserve"> (нг/мл)</w:t>
            </w:r>
          </w:p>
        </w:tc>
        <w:tc>
          <w:tcPr>
            <w:tcW w:w="1080" w:type="dxa"/>
          </w:tcPr>
          <w:p w:rsidR="006A5E94" w:rsidRPr="006A5E94" w:rsidRDefault="006A5E94" w:rsidP="00F7403F">
            <w:pPr>
              <w:jc w:val="center"/>
              <w:rPr>
                <w:sz w:val="22"/>
                <w:szCs w:val="22"/>
                <w:lang w:eastAsia="ja-JP"/>
              </w:rPr>
            </w:pPr>
            <w:r w:rsidRPr="006A5E94">
              <w:rPr>
                <w:sz w:val="22"/>
                <w:szCs w:val="22"/>
                <w:lang w:val="en-US"/>
              </w:rPr>
              <w:t>CV</w:t>
            </w:r>
            <w:r w:rsidRPr="006A5E94">
              <w:rPr>
                <w:sz w:val="22"/>
                <w:szCs w:val="22"/>
              </w:rPr>
              <w:t xml:space="preserve"> (%)</w:t>
            </w:r>
          </w:p>
        </w:tc>
      </w:tr>
      <w:tr w:rsidR="006A5E94" w:rsidRPr="006A5E94" w:rsidTr="00F7403F">
        <w:tc>
          <w:tcPr>
            <w:tcW w:w="2988" w:type="dxa"/>
          </w:tcPr>
          <w:p w:rsidR="006A5E94" w:rsidRPr="006A5E94" w:rsidRDefault="006A5E94" w:rsidP="00F7403F">
            <w:pPr>
              <w:pStyle w:val="a8"/>
              <w:jc w:val="both"/>
              <w:rPr>
                <w:rFonts w:ascii="Times New Roman" w:hAnsi="Times New Roman"/>
              </w:rPr>
            </w:pPr>
            <w:r w:rsidRPr="006A5E94">
              <w:rPr>
                <w:rFonts w:ascii="Times New Roman" w:hAnsi="Times New Roman"/>
              </w:rPr>
              <w:t>Контроль низкого уровня</w:t>
            </w:r>
          </w:p>
        </w:tc>
        <w:tc>
          <w:tcPr>
            <w:tcW w:w="1080" w:type="dxa"/>
          </w:tcPr>
          <w:p w:rsidR="006A5E94" w:rsidRPr="006A5E94" w:rsidRDefault="006A5E94" w:rsidP="00F7403F">
            <w:pPr>
              <w:pStyle w:val="a8"/>
              <w:jc w:val="center"/>
              <w:rPr>
                <w:rFonts w:ascii="Times New Roman" w:hAnsi="Times New Roman"/>
              </w:rPr>
            </w:pPr>
            <w:r w:rsidRPr="006A5E94">
              <w:rPr>
                <w:rFonts w:ascii="Times New Roman" w:hAnsi="Times New Roman"/>
              </w:rPr>
              <w:t>0,09</w:t>
            </w:r>
          </w:p>
        </w:tc>
        <w:tc>
          <w:tcPr>
            <w:tcW w:w="1620" w:type="dxa"/>
          </w:tcPr>
          <w:p w:rsidR="006A5E94" w:rsidRPr="006A5E94" w:rsidRDefault="006A5E94" w:rsidP="00F7403F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6A5E94">
              <w:rPr>
                <w:rFonts w:ascii="Times New Roman" w:hAnsi="Times New Roman"/>
              </w:rPr>
              <w:t>0,</w:t>
            </w:r>
            <w:r w:rsidRPr="006A5E94">
              <w:rPr>
                <w:rFonts w:ascii="Times New Roman" w:hAnsi="Times New Roman"/>
                <w:lang w:val="en-US"/>
              </w:rPr>
              <w:t>003</w:t>
            </w:r>
          </w:p>
        </w:tc>
        <w:tc>
          <w:tcPr>
            <w:tcW w:w="1260" w:type="dxa"/>
          </w:tcPr>
          <w:p w:rsidR="006A5E94" w:rsidRPr="006A5E94" w:rsidRDefault="006A5E94" w:rsidP="00F7403F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6A5E94">
              <w:rPr>
                <w:rFonts w:ascii="Times New Roman" w:hAnsi="Times New Roman"/>
                <w:lang w:val="en-US"/>
              </w:rPr>
              <w:t>3</w:t>
            </w:r>
            <w:r w:rsidRPr="006A5E94">
              <w:rPr>
                <w:rFonts w:ascii="Times New Roman" w:hAnsi="Times New Roman"/>
              </w:rPr>
              <w:t>,</w:t>
            </w:r>
            <w:r w:rsidRPr="006A5E94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620" w:type="dxa"/>
          </w:tcPr>
          <w:p w:rsidR="006A5E94" w:rsidRPr="006A5E94" w:rsidRDefault="006A5E94" w:rsidP="00F7403F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6A5E94">
              <w:rPr>
                <w:rFonts w:ascii="Times New Roman" w:hAnsi="Times New Roman"/>
                <w:lang w:val="en-US"/>
              </w:rPr>
              <w:t>0</w:t>
            </w:r>
            <w:r w:rsidRPr="006A5E94">
              <w:rPr>
                <w:rFonts w:ascii="Times New Roman" w:hAnsi="Times New Roman"/>
              </w:rPr>
              <w:t>,</w:t>
            </w:r>
            <w:r w:rsidRPr="006A5E94">
              <w:rPr>
                <w:rFonts w:ascii="Times New Roman" w:hAnsi="Times New Roman"/>
                <w:lang w:val="en-US"/>
              </w:rPr>
              <w:t>004</w:t>
            </w:r>
          </w:p>
        </w:tc>
        <w:tc>
          <w:tcPr>
            <w:tcW w:w="1080" w:type="dxa"/>
          </w:tcPr>
          <w:p w:rsidR="006A5E94" w:rsidRPr="006A5E94" w:rsidRDefault="006A5E94" w:rsidP="00F7403F">
            <w:pPr>
              <w:pStyle w:val="a8"/>
              <w:jc w:val="center"/>
              <w:rPr>
                <w:rFonts w:ascii="Times New Roman" w:hAnsi="Times New Roman"/>
              </w:rPr>
            </w:pPr>
            <w:r w:rsidRPr="006A5E94">
              <w:rPr>
                <w:rFonts w:ascii="Times New Roman" w:hAnsi="Times New Roman"/>
              </w:rPr>
              <w:t>3,9</w:t>
            </w:r>
          </w:p>
        </w:tc>
      </w:tr>
      <w:tr w:rsidR="006A5E94" w:rsidRPr="006A5E94" w:rsidTr="00F7403F">
        <w:tc>
          <w:tcPr>
            <w:tcW w:w="2988" w:type="dxa"/>
          </w:tcPr>
          <w:p w:rsidR="006A5E94" w:rsidRPr="006A5E94" w:rsidRDefault="006A5E94" w:rsidP="00F7403F">
            <w:pPr>
              <w:pStyle w:val="a8"/>
              <w:jc w:val="both"/>
              <w:rPr>
                <w:rFonts w:ascii="Times New Roman" w:hAnsi="Times New Roman"/>
              </w:rPr>
            </w:pPr>
            <w:r w:rsidRPr="006A5E94">
              <w:rPr>
                <w:rFonts w:ascii="Times New Roman" w:hAnsi="Times New Roman"/>
              </w:rPr>
              <w:t>Контроль среднего уровня</w:t>
            </w:r>
          </w:p>
        </w:tc>
        <w:tc>
          <w:tcPr>
            <w:tcW w:w="1080" w:type="dxa"/>
          </w:tcPr>
          <w:p w:rsidR="006A5E94" w:rsidRPr="006A5E94" w:rsidRDefault="006A5E94" w:rsidP="00F7403F">
            <w:pPr>
              <w:pStyle w:val="a8"/>
              <w:jc w:val="center"/>
              <w:rPr>
                <w:rFonts w:ascii="Times New Roman" w:hAnsi="Times New Roman"/>
              </w:rPr>
            </w:pPr>
            <w:r w:rsidRPr="006A5E94">
              <w:rPr>
                <w:rFonts w:ascii="Times New Roman" w:hAnsi="Times New Roman"/>
              </w:rPr>
              <w:t>2,22</w:t>
            </w:r>
          </w:p>
        </w:tc>
        <w:tc>
          <w:tcPr>
            <w:tcW w:w="1620" w:type="dxa"/>
          </w:tcPr>
          <w:p w:rsidR="006A5E94" w:rsidRPr="006A5E94" w:rsidRDefault="006A5E94" w:rsidP="00F7403F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6A5E94">
              <w:rPr>
                <w:rFonts w:ascii="Times New Roman" w:hAnsi="Times New Roman"/>
                <w:lang w:val="en-US"/>
              </w:rPr>
              <w:t>0.062</w:t>
            </w:r>
          </w:p>
        </w:tc>
        <w:tc>
          <w:tcPr>
            <w:tcW w:w="1260" w:type="dxa"/>
          </w:tcPr>
          <w:p w:rsidR="006A5E94" w:rsidRPr="006A5E94" w:rsidRDefault="006A5E94" w:rsidP="00F7403F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6A5E94">
              <w:rPr>
                <w:rFonts w:ascii="Times New Roman" w:hAnsi="Times New Roman"/>
                <w:lang w:val="en-US"/>
              </w:rPr>
              <w:t>2</w:t>
            </w:r>
            <w:r w:rsidRPr="006A5E94">
              <w:rPr>
                <w:rFonts w:ascii="Times New Roman" w:hAnsi="Times New Roman"/>
              </w:rPr>
              <w:t>,</w:t>
            </w:r>
            <w:r w:rsidRPr="006A5E94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620" w:type="dxa"/>
          </w:tcPr>
          <w:p w:rsidR="006A5E94" w:rsidRPr="006A5E94" w:rsidRDefault="006A5E94" w:rsidP="00F7403F">
            <w:pPr>
              <w:pStyle w:val="a8"/>
              <w:jc w:val="center"/>
              <w:rPr>
                <w:rFonts w:ascii="Times New Roman" w:hAnsi="Times New Roman"/>
              </w:rPr>
            </w:pPr>
            <w:r w:rsidRPr="006A5E94">
              <w:rPr>
                <w:rFonts w:ascii="Times New Roman" w:hAnsi="Times New Roman"/>
              </w:rPr>
              <w:t>0,068</w:t>
            </w:r>
          </w:p>
        </w:tc>
        <w:tc>
          <w:tcPr>
            <w:tcW w:w="1080" w:type="dxa"/>
          </w:tcPr>
          <w:p w:rsidR="006A5E94" w:rsidRPr="006A5E94" w:rsidRDefault="006A5E94" w:rsidP="00F7403F">
            <w:pPr>
              <w:pStyle w:val="a8"/>
              <w:jc w:val="center"/>
              <w:rPr>
                <w:rFonts w:ascii="Times New Roman" w:hAnsi="Times New Roman"/>
              </w:rPr>
            </w:pPr>
            <w:r w:rsidRPr="006A5E94">
              <w:rPr>
                <w:rFonts w:ascii="Times New Roman" w:hAnsi="Times New Roman"/>
              </w:rPr>
              <w:t>3,1</w:t>
            </w:r>
          </w:p>
        </w:tc>
      </w:tr>
      <w:tr w:rsidR="006A5E94" w:rsidRPr="006A5E94" w:rsidTr="00F7403F">
        <w:tc>
          <w:tcPr>
            <w:tcW w:w="2988" w:type="dxa"/>
          </w:tcPr>
          <w:p w:rsidR="006A5E94" w:rsidRPr="006A5E94" w:rsidRDefault="006A5E94" w:rsidP="00F7403F">
            <w:pPr>
              <w:pStyle w:val="a8"/>
              <w:jc w:val="both"/>
              <w:rPr>
                <w:rFonts w:ascii="Times New Roman" w:hAnsi="Times New Roman"/>
              </w:rPr>
            </w:pPr>
            <w:r w:rsidRPr="006A5E94">
              <w:rPr>
                <w:rFonts w:ascii="Times New Roman" w:hAnsi="Times New Roman"/>
              </w:rPr>
              <w:t>Контроль высокого уровня</w:t>
            </w:r>
          </w:p>
        </w:tc>
        <w:tc>
          <w:tcPr>
            <w:tcW w:w="1080" w:type="dxa"/>
          </w:tcPr>
          <w:p w:rsidR="006A5E94" w:rsidRPr="006A5E94" w:rsidRDefault="006A5E94" w:rsidP="00F7403F">
            <w:pPr>
              <w:pStyle w:val="a8"/>
              <w:jc w:val="center"/>
              <w:rPr>
                <w:rFonts w:ascii="Times New Roman" w:hAnsi="Times New Roman"/>
              </w:rPr>
            </w:pPr>
            <w:r w:rsidRPr="006A5E94">
              <w:rPr>
                <w:rFonts w:ascii="Times New Roman" w:hAnsi="Times New Roman"/>
              </w:rPr>
              <w:t>9,57</w:t>
            </w:r>
          </w:p>
        </w:tc>
        <w:tc>
          <w:tcPr>
            <w:tcW w:w="1620" w:type="dxa"/>
          </w:tcPr>
          <w:p w:rsidR="006A5E94" w:rsidRPr="006A5E94" w:rsidRDefault="006A5E94" w:rsidP="00F7403F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6A5E94">
              <w:rPr>
                <w:rFonts w:ascii="Times New Roman" w:hAnsi="Times New Roman"/>
                <w:lang w:val="en-US"/>
              </w:rPr>
              <w:t>0.306</w:t>
            </w:r>
          </w:p>
        </w:tc>
        <w:tc>
          <w:tcPr>
            <w:tcW w:w="1260" w:type="dxa"/>
          </w:tcPr>
          <w:p w:rsidR="006A5E94" w:rsidRPr="006A5E94" w:rsidRDefault="006A5E94" w:rsidP="00F7403F">
            <w:pPr>
              <w:pStyle w:val="a8"/>
              <w:jc w:val="center"/>
              <w:rPr>
                <w:rFonts w:ascii="Times New Roman" w:hAnsi="Times New Roman"/>
              </w:rPr>
            </w:pPr>
            <w:r w:rsidRPr="006A5E94">
              <w:rPr>
                <w:rFonts w:ascii="Times New Roman" w:hAnsi="Times New Roman"/>
              </w:rPr>
              <w:t>3,2</w:t>
            </w:r>
          </w:p>
        </w:tc>
        <w:tc>
          <w:tcPr>
            <w:tcW w:w="1620" w:type="dxa"/>
          </w:tcPr>
          <w:p w:rsidR="006A5E94" w:rsidRPr="006A5E94" w:rsidRDefault="006A5E94" w:rsidP="00F7403F">
            <w:pPr>
              <w:pStyle w:val="a8"/>
              <w:jc w:val="center"/>
              <w:rPr>
                <w:rFonts w:ascii="Times New Roman" w:hAnsi="Times New Roman"/>
              </w:rPr>
            </w:pPr>
            <w:r w:rsidRPr="006A5E94">
              <w:rPr>
                <w:rFonts w:ascii="Times New Roman" w:hAnsi="Times New Roman"/>
              </w:rPr>
              <w:t>0,353</w:t>
            </w:r>
          </w:p>
        </w:tc>
        <w:tc>
          <w:tcPr>
            <w:tcW w:w="1080" w:type="dxa"/>
          </w:tcPr>
          <w:p w:rsidR="006A5E94" w:rsidRPr="006A5E94" w:rsidRDefault="006A5E94" w:rsidP="00F7403F">
            <w:pPr>
              <w:pStyle w:val="a8"/>
              <w:jc w:val="center"/>
              <w:rPr>
                <w:rFonts w:ascii="Times New Roman" w:hAnsi="Times New Roman"/>
              </w:rPr>
            </w:pPr>
            <w:r w:rsidRPr="006A5E94">
              <w:rPr>
                <w:rFonts w:ascii="Times New Roman" w:hAnsi="Times New Roman"/>
              </w:rPr>
              <w:t>3,7</w:t>
            </w:r>
          </w:p>
        </w:tc>
      </w:tr>
    </w:tbl>
    <w:p w:rsidR="006A5E94" w:rsidRPr="006A5E94" w:rsidRDefault="006A5E94" w:rsidP="006A5E94">
      <w:pPr>
        <w:ind w:left="36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val="en-US"/>
        </w:rPr>
        <w:t>SD</w:t>
      </w:r>
      <w:r w:rsidRPr="006A5E94">
        <w:rPr>
          <w:sz w:val="22"/>
          <w:szCs w:val="22"/>
        </w:rPr>
        <w:t xml:space="preserve"> </w:t>
      </w:r>
      <w:r w:rsidRPr="006A5E94">
        <w:rPr>
          <w:sz w:val="22"/>
          <w:szCs w:val="22"/>
          <w:lang w:eastAsia="ja-JP"/>
        </w:rPr>
        <w:t xml:space="preserve">– стандартное отклонение, </w:t>
      </w:r>
      <w:r w:rsidRPr="006A5E94">
        <w:rPr>
          <w:sz w:val="22"/>
          <w:szCs w:val="22"/>
          <w:lang w:val="en-US"/>
        </w:rPr>
        <w:t>CV</w:t>
      </w:r>
      <w:r w:rsidRPr="006A5E94">
        <w:rPr>
          <w:sz w:val="22"/>
          <w:szCs w:val="22"/>
        </w:rPr>
        <w:t xml:space="preserve"> </w:t>
      </w:r>
      <w:r w:rsidRPr="006A5E94">
        <w:rPr>
          <w:sz w:val="22"/>
          <w:szCs w:val="22"/>
          <w:lang w:eastAsia="ja-JP"/>
        </w:rPr>
        <w:t>– коэффициент вариации.</w:t>
      </w:r>
    </w:p>
    <w:p w:rsidR="006A5E94" w:rsidRPr="006A5E94" w:rsidRDefault="006A5E94" w:rsidP="006A5E94">
      <w:pPr>
        <w:numPr>
          <w:ilvl w:val="0"/>
          <w:numId w:val="20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  <w:lang w:val="en-US" w:eastAsia="ja-JP"/>
        </w:rPr>
      </w:pPr>
      <w:r w:rsidRPr="006A5E94">
        <w:rPr>
          <w:sz w:val="22"/>
          <w:szCs w:val="22"/>
          <w:lang w:eastAsia="ja-JP"/>
        </w:rPr>
        <w:t xml:space="preserve"> Прецизионность при низких концентрациях</w:t>
      </w:r>
    </w:p>
    <w:p w:rsidR="006A5E94" w:rsidRPr="006A5E94" w:rsidRDefault="006A5E94" w:rsidP="006A5E94">
      <w:pPr>
        <w:tabs>
          <w:tab w:val="num" w:pos="180"/>
        </w:tabs>
        <w:ind w:left="180"/>
        <w:jc w:val="both"/>
        <w:rPr>
          <w:sz w:val="22"/>
          <w:szCs w:val="22"/>
        </w:rPr>
      </w:pPr>
      <w:r w:rsidRPr="006A5E94">
        <w:rPr>
          <w:sz w:val="22"/>
          <w:szCs w:val="22"/>
        </w:rPr>
        <w:t xml:space="preserve">Для определения прецизионности для низких концентраций объединенный пул плазмы разводили бестропониновой литий-гепариновой пробой плазмы. Были взяты аликвоты пяти проб с концентрациями тропонина от 0,02 нг/мл до 0 нг/мл и измерены согласно протоколу </w:t>
      </w:r>
      <w:r w:rsidRPr="006A5E94">
        <w:rPr>
          <w:sz w:val="22"/>
          <w:szCs w:val="22"/>
          <w:lang w:val="en-US"/>
        </w:rPr>
        <w:t>NCCLS</w:t>
      </w:r>
      <w:r w:rsidRPr="006A5E94">
        <w:rPr>
          <w:sz w:val="22"/>
          <w:szCs w:val="22"/>
        </w:rPr>
        <w:t xml:space="preserve"> (Института клинических и лабораторных стандартов).</w:t>
      </w:r>
    </w:p>
    <w:p w:rsidR="006A5E94" w:rsidRPr="006A5E94" w:rsidRDefault="00251938" w:rsidP="006A5E94">
      <w:pPr>
        <w:numPr>
          <w:ilvl w:val="0"/>
          <w:numId w:val="20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pict>
          <v:shape id="_x0000_s1048" type="#_x0000_t75" style="position:absolute;left:0;text-align:left;margin-left:316.1pt;margin-top:3.95pt;width:199.15pt;height:142.8pt;z-index:2">
            <v:imagedata r:id="rId8" o:title=""/>
            <w10:wrap type="square"/>
          </v:shape>
        </w:pict>
      </w:r>
      <w:r w:rsidR="006A5E94" w:rsidRPr="006A5E94">
        <w:rPr>
          <w:sz w:val="22"/>
          <w:szCs w:val="22"/>
          <w:lang w:eastAsia="ja-JP"/>
        </w:rPr>
        <w:t xml:space="preserve">Аналитическая чувствительность: 0,001 нг/мл. </w:t>
      </w:r>
    </w:p>
    <w:p w:rsidR="006A5E94" w:rsidRPr="006A5E94" w:rsidRDefault="006A5E94" w:rsidP="006A5E94">
      <w:pPr>
        <w:tabs>
          <w:tab w:val="num" w:pos="180"/>
        </w:tabs>
        <w:ind w:left="180"/>
        <w:jc w:val="both"/>
        <w:rPr>
          <w:sz w:val="22"/>
          <w:szCs w:val="22"/>
        </w:rPr>
      </w:pPr>
      <w:r w:rsidRPr="006A5E94">
        <w:rPr>
          <w:sz w:val="22"/>
          <w:szCs w:val="22"/>
        </w:rPr>
        <w:t xml:space="preserve">Предел определения определялся как самая низкая отличная от нуля концентрация и рассчитывался как 3 стандартных отклонения от среднего значения 20 измерений (в одном цикле) нулевого калибратора. </w:t>
      </w:r>
    </w:p>
    <w:p w:rsidR="006A5E94" w:rsidRPr="006A5E94" w:rsidRDefault="006A5E94" w:rsidP="006A5E94">
      <w:pPr>
        <w:tabs>
          <w:tab w:val="num" w:pos="180"/>
        </w:tabs>
        <w:ind w:left="180"/>
        <w:jc w:val="both"/>
        <w:rPr>
          <w:sz w:val="22"/>
          <w:szCs w:val="22"/>
        </w:rPr>
      </w:pPr>
      <w:r w:rsidRPr="006A5E94">
        <w:rPr>
          <w:sz w:val="22"/>
          <w:szCs w:val="22"/>
        </w:rPr>
        <w:t>Средняя (</w:t>
      </w:r>
      <w:r w:rsidRPr="006A5E94">
        <w:rPr>
          <w:sz w:val="22"/>
          <w:szCs w:val="22"/>
          <w:lang w:val="en-US"/>
        </w:rPr>
        <w:t>SD</w:t>
      </w:r>
      <w:r w:rsidRPr="006A5E94">
        <w:rPr>
          <w:sz w:val="22"/>
          <w:szCs w:val="22"/>
        </w:rPr>
        <w:t xml:space="preserve">) концентрация </w:t>
      </w:r>
      <w:r w:rsidRPr="006A5E94">
        <w:rPr>
          <w:sz w:val="22"/>
          <w:szCs w:val="22"/>
          <w:lang w:val="en-US"/>
        </w:rPr>
        <w:t>cTnI</w:t>
      </w:r>
      <w:r w:rsidRPr="006A5E94">
        <w:rPr>
          <w:sz w:val="22"/>
          <w:szCs w:val="22"/>
        </w:rPr>
        <w:t xml:space="preserve"> нулевого калибратора в 20 измерениях на </w:t>
      </w:r>
      <w:r w:rsidRPr="006A5E94">
        <w:rPr>
          <w:sz w:val="22"/>
          <w:szCs w:val="22"/>
          <w:lang w:val="en-US"/>
        </w:rPr>
        <w:t>PATHFAST</w:t>
      </w:r>
      <w:r w:rsidRPr="006A5E94">
        <w:rPr>
          <w:sz w:val="22"/>
          <w:szCs w:val="22"/>
        </w:rPr>
        <w:t xml:space="preserve"> составила 0,0001 (0,0003) нг/мл и аналитическая чувствительность, рассчитанная как 3 </w:t>
      </w:r>
      <w:r w:rsidRPr="006A5E94">
        <w:rPr>
          <w:sz w:val="22"/>
          <w:szCs w:val="22"/>
          <w:lang w:val="en-US"/>
        </w:rPr>
        <w:t>SD</w:t>
      </w:r>
      <w:r w:rsidRPr="006A5E94">
        <w:rPr>
          <w:sz w:val="22"/>
          <w:szCs w:val="22"/>
        </w:rPr>
        <w:t xml:space="preserve"> добавленных к среднему значению 20 измерений нулевого калибратора, составила 0,001 нг/мл.</w:t>
      </w:r>
    </w:p>
    <w:p w:rsidR="006A5E94" w:rsidRDefault="006A5E94" w:rsidP="006A5E94">
      <w:pPr>
        <w:spacing w:before="120"/>
        <w:jc w:val="both"/>
        <w:rPr>
          <w:i/>
          <w:iCs/>
          <w:sz w:val="22"/>
          <w:szCs w:val="22"/>
          <w:lang w:eastAsia="ja-JP"/>
        </w:rPr>
      </w:pPr>
    </w:p>
    <w:p w:rsidR="006A5E94" w:rsidRPr="006A5E94" w:rsidRDefault="006A5E94" w:rsidP="006A5E94">
      <w:pPr>
        <w:spacing w:before="120"/>
        <w:jc w:val="both"/>
        <w:rPr>
          <w:i/>
          <w:iCs/>
          <w:sz w:val="22"/>
          <w:szCs w:val="22"/>
          <w:lang w:eastAsia="ja-JP"/>
        </w:rPr>
      </w:pPr>
      <w:r w:rsidRPr="006A5E94">
        <w:rPr>
          <w:i/>
          <w:iCs/>
          <w:sz w:val="22"/>
          <w:szCs w:val="22"/>
          <w:lang w:eastAsia="ja-JP"/>
        </w:rPr>
        <w:lastRenderedPageBreak/>
        <w:t>Возможные влияния</w:t>
      </w:r>
    </w:p>
    <w:p w:rsidR="006A5E94" w:rsidRPr="006A5E94" w:rsidRDefault="006A5E94" w:rsidP="006A5E94">
      <w:pPr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>Как было обнаружено, следующие вещества в нижеуказанных концентрациях оказывали влияние менее 10% на результаты тестирования.</w:t>
      </w:r>
    </w:p>
    <w:p w:rsidR="006A5E94" w:rsidRPr="006A5E94" w:rsidRDefault="006A5E94" w:rsidP="006A5E94">
      <w:pPr>
        <w:tabs>
          <w:tab w:val="left" w:pos="3600"/>
        </w:tabs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</w:rPr>
        <w:t>Свободный билирубин</w:t>
      </w:r>
      <w:r w:rsidRPr="006A5E94">
        <w:rPr>
          <w:sz w:val="22"/>
          <w:szCs w:val="22"/>
          <w:lang w:eastAsia="ja-JP"/>
        </w:rPr>
        <w:tab/>
        <w:t>60 мг/дл</w:t>
      </w:r>
    </w:p>
    <w:p w:rsidR="006A5E94" w:rsidRPr="006A5E94" w:rsidRDefault="006A5E94" w:rsidP="006A5E94">
      <w:pPr>
        <w:tabs>
          <w:tab w:val="left" w:pos="3600"/>
        </w:tabs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</w:rPr>
        <w:t>Связанный билирубин</w:t>
      </w:r>
      <w:r w:rsidRPr="006A5E94">
        <w:rPr>
          <w:sz w:val="22"/>
          <w:szCs w:val="22"/>
          <w:lang w:eastAsia="ja-JP"/>
        </w:rPr>
        <w:tab/>
        <w:t>60 мг/дл</w:t>
      </w:r>
    </w:p>
    <w:p w:rsidR="006A5E94" w:rsidRPr="006A5E94" w:rsidRDefault="006A5E94" w:rsidP="006A5E94">
      <w:pPr>
        <w:tabs>
          <w:tab w:val="left" w:pos="3600"/>
        </w:tabs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 xml:space="preserve">Триглицериды, липемия образца </w:t>
      </w:r>
      <w:r w:rsidRPr="006A5E94">
        <w:rPr>
          <w:sz w:val="22"/>
          <w:szCs w:val="22"/>
          <w:lang w:eastAsia="ja-JP"/>
        </w:rPr>
        <w:tab/>
        <w:t>1000 мг/дл</w:t>
      </w:r>
    </w:p>
    <w:p w:rsidR="006A5E94" w:rsidRPr="006A5E94" w:rsidRDefault="006A5E94" w:rsidP="006A5E94">
      <w:pPr>
        <w:tabs>
          <w:tab w:val="left" w:pos="3600"/>
        </w:tabs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>Гемоглобин (при гемолизе)</w:t>
      </w:r>
      <w:r w:rsidRPr="006A5E94">
        <w:rPr>
          <w:sz w:val="22"/>
          <w:szCs w:val="22"/>
          <w:lang w:eastAsia="ja-JP"/>
        </w:rPr>
        <w:tab/>
        <w:t>1000 мг/дл</w:t>
      </w:r>
    </w:p>
    <w:p w:rsidR="006A5E94" w:rsidRPr="006A5E94" w:rsidRDefault="006A5E94" w:rsidP="006A5E94">
      <w:pPr>
        <w:tabs>
          <w:tab w:val="left" w:pos="3600"/>
        </w:tabs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 xml:space="preserve">Ревматоидный фактор </w:t>
      </w:r>
      <w:r w:rsidRPr="006A5E94">
        <w:rPr>
          <w:sz w:val="22"/>
          <w:szCs w:val="22"/>
          <w:lang w:eastAsia="ja-JP"/>
        </w:rPr>
        <w:tab/>
        <w:t>500 МЕ/мл</w:t>
      </w:r>
    </w:p>
    <w:p w:rsidR="006A5E94" w:rsidRPr="006A5E94" w:rsidRDefault="006A5E94" w:rsidP="006A5E94">
      <w:pPr>
        <w:spacing w:before="120"/>
        <w:jc w:val="both"/>
        <w:rPr>
          <w:i/>
          <w:iCs/>
          <w:sz w:val="22"/>
          <w:szCs w:val="22"/>
          <w:lang w:eastAsia="ja-JP"/>
        </w:rPr>
      </w:pPr>
      <w:r w:rsidRPr="006A5E94">
        <w:rPr>
          <w:i/>
          <w:iCs/>
          <w:sz w:val="22"/>
          <w:szCs w:val="22"/>
          <w:lang w:eastAsia="ja-JP"/>
        </w:rPr>
        <w:t xml:space="preserve">Ограничения </w:t>
      </w:r>
    </w:p>
    <w:p w:rsidR="006A5E94" w:rsidRPr="006A5E94" w:rsidRDefault="006A5E94" w:rsidP="006A5E94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 xml:space="preserve"> Система оповещения об ошибках в приборе содержит кодовые обозначения ошибок для предупреждения персонала о неисправностях. Любой отчет об ошибке, содержащий такие коды, должен быть сохранен для последующего отчета. См. руговодство пользователя для прибора PATHFAST.</w:t>
      </w:r>
    </w:p>
    <w:p w:rsidR="006A5E94" w:rsidRPr="006A5E94" w:rsidRDefault="006A5E94" w:rsidP="006A5E94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ja-JP"/>
        </w:rPr>
      </w:pPr>
      <w:r w:rsidRPr="006A5E94">
        <w:rPr>
          <w:sz w:val="22"/>
          <w:szCs w:val="22"/>
          <w:lang w:eastAsia="ja-JP"/>
        </w:rPr>
        <w:t xml:space="preserve">Пробы пациентов </w:t>
      </w:r>
      <w:r w:rsidRPr="006A5E94">
        <w:rPr>
          <w:sz w:val="22"/>
          <w:szCs w:val="22"/>
        </w:rPr>
        <w:t>могут содержать гетерофильные антитела, которые могут вступать в иммунную реакцию и таким образом влиять на результаты, как завышая, так и занижая их.</w:t>
      </w:r>
      <w:r w:rsidRPr="006A5E94">
        <w:rPr>
          <w:sz w:val="22"/>
          <w:szCs w:val="22"/>
          <w:lang w:eastAsia="ja-JP"/>
        </w:rPr>
        <w:t xml:space="preserve"> Этот тест был разработан так, чтобы минимизировать такие влияния. Тем не менее, полная защита от такого влияния не может быть гарантирована. Результат теста, не согласующийся с общей клинической картиной и анамнезом должен интерпретироваться с осторожностью.</w:t>
      </w:r>
    </w:p>
    <w:p w:rsidR="006A5E94" w:rsidRPr="006A5E94" w:rsidRDefault="006A5E94" w:rsidP="006A5E94">
      <w:pPr>
        <w:spacing w:before="120"/>
        <w:jc w:val="both"/>
        <w:rPr>
          <w:b/>
          <w:i/>
          <w:iCs/>
          <w:sz w:val="22"/>
          <w:szCs w:val="22"/>
          <w:lang w:val="en-US" w:eastAsia="ja-JP"/>
        </w:rPr>
      </w:pPr>
      <w:r w:rsidRPr="006A5E94">
        <w:rPr>
          <w:i/>
          <w:iCs/>
          <w:sz w:val="22"/>
          <w:szCs w:val="22"/>
          <w:lang w:eastAsia="ja-JP"/>
        </w:rPr>
        <w:t>Ссылки</w:t>
      </w:r>
    </w:p>
    <w:p w:rsidR="006A5E94" w:rsidRPr="006A5E94" w:rsidRDefault="006A5E94" w:rsidP="006A5E94">
      <w:pPr>
        <w:numPr>
          <w:ilvl w:val="0"/>
          <w:numId w:val="25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sz w:val="18"/>
          <w:szCs w:val="18"/>
          <w:lang w:val="en-US" w:eastAsia="ja-JP"/>
        </w:rPr>
      </w:pPr>
      <w:r w:rsidRPr="000224B0">
        <w:rPr>
          <w:sz w:val="20"/>
          <w:szCs w:val="20"/>
          <w:lang w:val="en-US" w:eastAsia="ja-JP"/>
        </w:rPr>
        <w:t xml:space="preserve"> </w:t>
      </w:r>
      <w:r w:rsidRPr="006A5E94">
        <w:rPr>
          <w:sz w:val="18"/>
          <w:szCs w:val="18"/>
          <w:lang w:val="en-US" w:eastAsia="ja-JP"/>
        </w:rPr>
        <w:t>Perry SV. The regulation of contractile activity in muscle. Biochem Soc</w:t>
      </w:r>
      <w:r w:rsidRPr="006A5E94">
        <w:rPr>
          <w:sz w:val="18"/>
          <w:szCs w:val="18"/>
          <w:lang w:eastAsia="ja-JP"/>
        </w:rPr>
        <w:t xml:space="preserve"> </w:t>
      </w:r>
      <w:r w:rsidRPr="006A5E94">
        <w:rPr>
          <w:sz w:val="18"/>
          <w:szCs w:val="18"/>
          <w:lang w:val="en-US" w:eastAsia="ja-JP"/>
        </w:rPr>
        <w:t>Trans 1979; 7:593-617</w:t>
      </w:r>
    </w:p>
    <w:p w:rsidR="006A5E94" w:rsidRPr="006A5E94" w:rsidRDefault="006A5E94" w:rsidP="006A5E94">
      <w:pPr>
        <w:numPr>
          <w:ilvl w:val="0"/>
          <w:numId w:val="25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sz w:val="18"/>
          <w:szCs w:val="18"/>
          <w:lang w:val="en-US" w:eastAsia="ja-JP"/>
        </w:rPr>
      </w:pPr>
      <w:r w:rsidRPr="006A5E94">
        <w:rPr>
          <w:sz w:val="18"/>
          <w:szCs w:val="18"/>
          <w:lang w:val="en-US" w:eastAsia="ja-JP"/>
        </w:rPr>
        <w:t xml:space="preserve"> Cummins B, Auckland ML, Cummins P. Cardiac-specific troponin-I radioimmunoassay in the diagnosis of acute myocardial infarction. Am Heart J. 1987; 113:1334-44</w:t>
      </w:r>
    </w:p>
    <w:p w:rsidR="006A5E94" w:rsidRPr="006A5E94" w:rsidRDefault="006A5E94" w:rsidP="006A5E94">
      <w:pPr>
        <w:numPr>
          <w:ilvl w:val="0"/>
          <w:numId w:val="25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sz w:val="18"/>
          <w:szCs w:val="18"/>
          <w:lang w:eastAsia="ja-JP"/>
        </w:rPr>
      </w:pPr>
      <w:r w:rsidRPr="006A5E94">
        <w:rPr>
          <w:sz w:val="18"/>
          <w:szCs w:val="18"/>
          <w:lang w:val="en-US" w:eastAsia="ja-JP"/>
        </w:rPr>
        <w:t xml:space="preserve"> Larue C, Calzolari C, Bertinchant JP, Leclercq F, Grolleau R, Pau B. Cardiac-specific immunoenzymometric assay of troponin I in the early phase of acute myocardial infarction. Clinical</w:t>
      </w:r>
      <w:r w:rsidRPr="006A5E94">
        <w:rPr>
          <w:sz w:val="18"/>
          <w:szCs w:val="18"/>
          <w:lang w:eastAsia="ja-JP"/>
        </w:rPr>
        <w:t xml:space="preserve"> </w:t>
      </w:r>
      <w:r w:rsidRPr="006A5E94">
        <w:rPr>
          <w:sz w:val="18"/>
          <w:szCs w:val="18"/>
          <w:lang w:val="en-US" w:eastAsia="ja-JP"/>
        </w:rPr>
        <w:t>Chemistry</w:t>
      </w:r>
      <w:r w:rsidRPr="006A5E94">
        <w:rPr>
          <w:sz w:val="18"/>
          <w:szCs w:val="18"/>
          <w:lang w:eastAsia="ja-JP"/>
        </w:rPr>
        <w:t xml:space="preserve"> 1993; 39; 972-79</w:t>
      </w:r>
      <w:r w:rsidRPr="006A5E94">
        <w:rPr>
          <w:b/>
          <w:bCs/>
          <w:i/>
          <w:iCs/>
          <w:sz w:val="18"/>
          <w:szCs w:val="18"/>
          <w:lang w:eastAsia="ja-JP"/>
        </w:rPr>
        <w:t xml:space="preserve"> </w:t>
      </w:r>
    </w:p>
    <w:p w:rsidR="006A5E94" w:rsidRPr="006A5E94" w:rsidRDefault="006A5E94" w:rsidP="006A5E94">
      <w:pPr>
        <w:numPr>
          <w:ilvl w:val="0"/>
          <w:numId w:val="25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sz w:val="18"/>
          <w:szCs w:val="18"/>
          <w:lang w:eastAsia="ja-JP"/>
        </w:rPr>
      </w:pPr>
      <w:r w:rsidRPr="006A5E94">
        <w:rPr>
          <w:sz w:val="18"/>
          <w:szCs w:val="18"/>
          <w:lang w:val="en-US" w:eastAsia="ja-JP"/>
        </w:rPr>
        <w:t xml:space="preserve">Alpert JS, Thygesen K, Jaffe A, White HD. The universal definition of myocardial infarction: a consensus document: ischemic heart disease. </w:t>
      </w:r>
      <w:r w:rsidRPr="006A5E94">
        <w:rPr>
          <w:sz w:val="18"/>
          <w:szCs w:val="18"/>
          <w:lang w:eastAsia="ja-JP"/>
        </w:rPr>
        <w:t>Heart 2008;94:1335:1341.</w:t>
      </w:r>
    </w:p>
    <w:p w:rsidR="006A5E94" w:rsidRPr="006A5E94" w:rsidRDefault="006A5E94" w:rsidP="006A5E94">
      <w:pPr>
        <w:numPr>
          <w:ilvl w:val="0"/>
          <w:numId w:val="25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sz w:val="18"/>
          <w:szCs w:val="18"/>
          <w:lang w:eastAsia="ja-JP"/>
        </w:rPr>
      </w:pPr>
      <w:r w:rsidRPr="006A5E94">
        <w:rPr>
          <w:sz w:val="18"/>
          <w:szCs w:val="18"/>
          <w:lang w:val="en-US" w:eastAsia="ja-JP"/>
        </w:rPr>
        <w:t xml:space="preserve">Christenson RH, Duh SH, Newby LK, Ohman EM et al. Cardiac troponin T and troponin I: relative values in short-term risk stratification of patients with acute coronary syndromes. </w:t>
      </w:r>
      <w:r w:rsidRPr="006A5E94">
        <w:rPr>
          <w:sz w:val="18"/>
          <w:szCs w:val="18"/>
          <w:lang w:eastAsia="ja-JP"/>
        </w:rPr>
        <w:t>Clin Chem 1998;44:494-501.</w:t>
      </w:r>
    </w:p>
    <w:p w:rsidR="006A5E94" w:rsidRPr="006A5E94" w:rsidRDefault="006A5E94" w:rsidP="006A5E94">
      <w:pPr>
        <w:numPr>
          <w:ilvl w:val="0"/>
          <w:numId w:val="25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sz w:val="18"/>
          <w:szCs w:val="18"/>
          <w:lang w:eastAsia="ja-JP"/>
        </w:rPr>
      </w:pPr>
      <w:r w:rsidRPr="006A5E94">
        <w:rPr>
          <w:sz w:val="18"/>
          <w:szCs w:val="18"/>
          <w:lang w:val="en-US" w:eastAsia="ja-JP"/>
        </w:rPr>
        <w:t xml:space="preserve">Alpert JS, Thygesen K, Antman E, Bassand JP. Myocardial infarction redefined - a Consensus Document of the Joint European Society of Cardiology/American College of Cardiology Committee for the Redefinition of Myocardial Infarction. </w:t>
      </w:r>
      <w:r w:rsidRPr="006A5E94">
        <w:rPr>
          <w:sz w:val="18"/>
          <w:szCs w:val="18"/>
          <w:lang w:eastAsia="ja-JP"/>
        </w:rPr>
        <w:t>J Am Coll Cardiol 2000;36:959–69. Eur Heart J 2000;21:1502-13.</w:t>
      </w:r>
    </w:p>
    <w:p w:rsidR="006A5E94" w:rsidRPr="006A5E94" w:rsidRDefault="006A5E94" w:rsidP="006A5E94">
      <w:pPr>
        <w:numPr>
          <w:ilvl w:val="0"/>
          <w:numId w:val="25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sz w:val="18"/>
          <w:szCs w:val="18"/>
          <w:lang w:eastAsia="ja-JP"/>
        </w:rPr>
      </w:pPr>
      <w:r w:rsidRPr="006A5E94">
        <w:rPr>
          <w:sz w:val="18"/>
          <w:szCs w:val="18"/>
          <w:lang w:val="en-US" w:eastAsia="ja-JP"/>
        </w:rPr>
        <w:t xml:space="preserve">Thygesen K, Alpert JS, White HD; Joint ESC/ACCF/AHA/WHF Task Force for the Redefinition of Myocardial Infarction. </w:t>
      </w:r>
      <w:r w:rsidRPr="006A5E94">
        <w:rPr>
          <w:sz w:val="18"/>
          <w:szCs w:val="18"/>
          <w:lang w:eastAsia="ja-JP"/>
        </w:rPr>
        <w:t>Universal definition of myocardial infarction. Eur Heart J. 2007;28:2525-38.</w:t>
      </w:r>
    </w:p>
    <w:p w:rsidR="006A5E94" w:rsidRPr="006A5E94" w:rsidRDefault="006A5E94" w:rsidP="006A5E94">
      <w:pPr>
        <w:numPr>
          <w:ilvl w:val="0"/>
          <w:numId w:val="25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sz w:val="18"/>
          <w:szCs w:val="18"/>
          <w:lang w:eastAsia="ja-JP"/>
        </w:rPr>
      </w:pPr>
      <w:r w:rsidRPr="006A5E94">
        <w:rPr>
          <w:sz w:val="18"/>
          <w:szCs w:val="18"/>
          <w:lang w:val="en-US" w:eastAsia="ja-JP"/>
        </w:rPr>
        <w:t xml:space="preserve">The Task Force for the Diagnosis and Treatment of Non-ST-Segment Elevation Acute Coronary Syndromes of the European Society of Cardiology. Guidelines for the diagnosis and treatment of non-ST-elevation acute coronary syndromes. </w:t>
      </w:r>
      <w:r w:rsidRPr="006A5E94">
        <w:rPr>
          <w:sz w:val="18"/>
          <w:szCs w:val="18"/>
          <w:lang w:eastAsia="ja-JP"/>
        </w:rPr>
        <w:t>Eur Heart J 2007;28:1598-1660.</w:t>
      </w:r>
    </w:p>
    <w:p w:rsidR="006A5E94" w:rsidRPr="006A5E94" w:rsidRDefault="006A5E94" w:rsidP="006A5E94">
      <w:pPr>
        <w:numPr>
          <w:ilvl w:val="0"/>
          <w:numId w:val="25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sz w:val="18"/>
          <w:szCs w:val="18"/>
          <w:lang w:eastAsia="ja-JP"/>
        </w:rPr>
      </w:pPr>
      <w:r w:rsidRPr="006A5E94">
        <w:rPr>
          <w:sz w:val="18"/>
          <w:szCs w:val="18"/>
          <w:lang w:val="en-US" w:eastAsia="ja-JP"/>
        </w:rPr>
        <w:t xml:space="preserve">Thygesen K, Alpert JS, White HD on behalf of the Joint ESC/ACCF/AHA/WHF Task Force for Redefinition of Myocardial Infarction. </w:t>
      </w:r>
      <w:r w:rsidRPr="006A5E94">
        <w:rPr>
          <w:sz w:val="18"/>
          <w:szCs w:val="18"/>
          <w:lang w:eastAsia="ja-JP"/>
        </w:rPr>
        <w:t>JACC 207;50:2173-2195.</w:t>
      </w:r>
    </w:p>
    <w:p w:rsidR="006A5E94" w:rsidRPr="006A5E94" w:rsidRDefault="006A5E94" w:rsidP="006A5E94">
      <w:pPr>
        <w:numPr>
          <w:ilvl w:val="0"/>
          <w:numId w:val="25"/>
        </w:numPr>
        <w:tabs>
          <w:tab w:val="clear" w:pos="720"/>
          <w:tab w:val="num" w:pos="180"/>
          <w:tab w:val="left" w:pos="284"/>
        </w:tabs>
        <w:autoSpaceDE w:val="0"/>
        <w:autoSpaceDN w:val="0"/>
        <w:adjustRightInd w:val="0"/>
        <w:ind w:left="180" w:hanging="180"/>
        <w:jc w:val="both"/>
        <w:rPr>
          <w:sz w:val="18"/>
          <w:szCs w:val="18"/>
          <w:lang w:eastAsia="ja-JP"/>
        </w:rPr>
      </w:pPr>
      <w:r w:rsidRPr="006A5E94">
        <w:rPr>
          <w:sz w:val="18"/>
          <w:szCs w:val="18"/>
          <w:lang w:val="en-US" w:eastAsia="ja-JP"/>
        </w:rPr>
        <w:t xml:space="preserve">Heeschen C, Hamm CW, Goldmann BU et al. for the PRISM study investigators. Troponin concentrations for stratification of patients with acute coronary syndromes in relation to therapeutics efficacy of tirofiban. </w:t>
      </w:r>
      <w:r w:rsidRPr="006A5E94">
        <w:rPr>
          <w:sz w:val="18"/>
          <w:szCs w:val="18"/>
          <w:lang w:eastAsia="ja-JP"/>
        </w:rPr>
        <w:t>Lancet 1999;354:1757-1762.</w:t>
      </w:r>
    </w:p>
    <w:p w:rsidR="006A5E94" w:rsidRPr="006A5E94" w:rsidRDefault="006A5E94" w:rsidP="006A5E94">
      <w:pPr>
        <w:numPr>
          <w:ilvl w:val="0"/>
          <w:numId w:val="25"/>
        </w:numPr>
        <w:tabs>
          <w:tab w:val="clear" w:pos="720"/>
          <w:tab w:val="num" w:pos="180"/>
          <w:tab w:val="left" w:pos="284"/>
        </w:tabs>
        <w:autoSpaceDE w:val="0"/>
        <w:autoSpaceDN w:val="0"/>
        <w:adjustRightInd w:val="0"/>
        <w:ind w:left="180" w:hanging="180"/>
        <w:jc w:val="both"/>
        <w:rPr>
          <w:sz w:val="18"/>
          <w:szCs w:val="18"/>
          <w:lang w:eastAsia="ja-JP"/>
        </w:rPr>
      </w:pPr>
      <w:r w:rsidRPr="006A5E94">
        <w:rPr>
          <w:sz w:val="18"/>
          <w:szCs w:val="18"/>
          <w:lang w:val="en-US" w:eastAsia="ja-JP"/>
        </w:rPr>
        <w:t xml:space="preserve">Allen J, Kleiman NS, Nassif D, Hsieh W et a. Prevalence and prognostic significance of preprocedural cardiac troponin elevation among patients with stable coronary artery disease undergoing percutaneous coronary intervention. </w:t>
      </w:r>
      <w:r w:rsidRPr="006A5E94">
        <w:rPr>
          <w:sz w:val="18"/>
          <w:szCs w:val="18"/>
          <w:lang w:eastAsia="ja-JP"/>
        </w:rPr>
        <w:t>Circulation 2008;118:632-638.</w:t>
      </w:r>
    </w:p>
    <w:p w:rsidR="006A5E94" w:rsidRPr="006A5E94" w:rsidRDefault="006A5E94" w:rsidP="006A5E94">
      <w:pPr>
        <w:numPr>
          <w:ilvl w:val="0"/>
          <w:numId w:val="25"/>
        </w:numPr>
        <w:tabs>
          <w:tab w:val="clear" w:pos="720"/>
          <w:tab w:val="num" w:pos="180"/>
          <w:tab w:val="left" w:pos="284"/>
        </w:tabs>
        <w:autoSpaceDE w:val="0"/>
        <w:autoSpaceDN w:val="0"/>
        <w:adjustRightInd w:val="0"/>
        <w:ind w:left="180" w:hanging="180"/>
        <w:jc w:val="both"/>
        <w:rPr>
          <w:sz w:val="18"/>
          <w:szCs w:val="18"/>
          <w:lang w:eastAsia="ja-JP"/>
        </w:rPr>
      </w:pPr>
      <w:r w:rsidRPr="006A5E94">
        <w:rPr>
          <w:sz w:val="18"/>
          <w:szCs w:val="18"/>
          <w:lang w:val="en-US" w:eastAsia="ja-JP"/>
        </w:rPr>
        <w:t xml:space="preserve">Apple FS: High-sensitivty cardiac troponin assays: what analytical and clinical issues need to be addressed before introduction into clinical practice? </w:t>
      </w:r>
      <w:r w:rsidRPr="006A5E94">
        <w:rPr>
          <w:sz w:val="18"/>
          <w:szCs w:val="18"/>
          <w:lang w:eastAsia="ja-JP"/>
        </w:rPr>
        <w:t>Clin Chem 2010;56:886-891.</w:t>
      </w:r>
    </w:p>
    <w:p w:rsidR="006A5E94" w:rsidRPr="006A5E94" w:rsidRDefault="006A5E94" w:rsidP="006A5E94">
      <w:pPr>
        <w:numPr>
          <w:ilvl w:val="0"/>
          <w:numId w:val="25"/>
        </w:numPr>
        <w:tabs>
          <w:tab w:val="clear" w:pos="720"/>
          <w:tab w:val="num" w:pos="180"/>
          <w:tab w:val="left" w:pos="284"/>
        </w:tabs>
        <w:autoSpaceDE w:val="0"/>
        <w:autoSpaceDN w:val="0"/>
        <w:adjustRightInd w:val="0"/>
        <w:ind w:left="180" w:hanging="180"/>
        <w:jc w:val="both"/>
        <w:rPr>
          <w:sz w:val="18"/>
          <w:szCs w:val="18"/>
          <w:lang w:eastAsia="ja-JP"/>
        </w:rPr>
      </w:pPr>
      <w:r w:rsidRPr="006A5E94">
        <w:rPr>
          <w:sz w:val="18"/>
          <w:szCs w:val="18"/>
          <w:lang w:val="en-US" w:eastAsia="ja-JP"/>
        </w:rPr>
        <w:t xml:space="preserve">Peetz D, Hafner G, Prellwitz W. Analytical evaluation of an immunoassay for quantitative determination of cTnI. </w:t>
      </w:r>
      <w:r w:rsidRPr="006A5E94">
        <w:rPr>
          <w:sz w:val="18"/>
          <w:szCs w:val="18"/>
          <w:lang w:eastAsia="ja-JP"/>
        </w:rPr>
        <w:t>J Lab Med 2000;24:243-249.</w:t>
      </w:r>
    </w:p>
    <w:p w:rsidR="006A5E94" w:rsidRPr="006A5E94" w:rsidRDefault="006A5E94" w:rsidP="006A5E94">
      <w:pPr>
        <w:numPr>
          <w:ilvl w:val="0"/>
          <w:numId w:val="25"/>
        </w:numPr>
        <w:tabs>
          <w:tab w:val="clear" w:pos="720"/>
          <w:tab w:val="num" w:pos="180"/>
          <w:tab w:val="left" w:pos="284"/>
        </w:tabs>
        <w:autoSpaceDE w:val="0"/>
        <w:autoSpaceDN w:val="0"/>
        <w:adjustRightInd w:val="0"/>
        <w:ind w:left="180" w:hanging="180"/>
        <w:jc w:val="both"/>
        <w:rPr>
          <w:sz w:val="18"/>
          <w:szCs w:val="18"/>
          <w:lang w:eastAsia="ja-JP"/>
        </w:rPr>
      </w:pPr>
      <w:r w:rsidRPr="006A5E94">
        <w:rPr>
          <w:sz w:val="18"/>
          <w:szCs w:val="18"/>
          <w:lang w:val="en-US" w:eastAsia="ja-JP"/>
        </w:rPr>
        <w:t xml:space="preserve">Peake RWA, Deans KA, Croal BL. A practical assessment of the short-term in vitro stability of troponin I at the 99th percentile. </w:t>
      </w:r>
      <w:r w:rsidRPr="006A5E94">
        <w:rPr>
          <w:sz w:val="18"/>
          <w:szCs w:val="18"/>
          <w:lang w:eastAsia="ja-JP"/>
        </w:rPr>
        <w:t>Ann Clin Biochem 2011;48:377-379.</w:t>
      </w:r>
    </w:p>
    <w:p w:rsidR="006A5E94" w:rsidRPr="006A5E94" w:rsidRDefault="006A5E94" w:rsidP="006A5E94">
      <w:pPr>
        <w:numPr>
          <w:ilvl w:val="0"/>
          <w:numId w:val="25"/>
        </w:numPr>
        <w:tabs>
          <w:tab w:val="clear" w:pos="720"/>
          <w:tab w:val="num" w:pos="180"/>
          <w:tab w:val="left" w:pos="284"/>
        </w:tabs>
        <w:autoSpaceDE w:val="0"/>
        <w:autoSpaceDN w:val="0"/>
        <w:adjustRightInd w:val="0"/>
        <w:ind w:left="180" w:hanging="180"/>
        <w:jc w:val="both"/>
        <w:rPr>
          <w:sz w:val="18"/>
          <w:szCs w:val="18"/>
          <w:lang w:val="en-US" w:eastAsia="ja-JP"/>
        </w:rPr>
      </w:pPr>
      <w:r w:rsidRPr="006A5E94">
        <w:rPr>
          <w:sz w:val="18"/>
          <w:szCs w:val="18"/>
          <w:lang w:val="en-US" w:eastAsia="ja-JP"/>
        </w:rPr>
        <w:t>Cobbaert CM et al. Time-dependent instability of cardiac troponin in human plasma spiked with NIST reference material 2921.</w:t>
      </w:r>
    </w:p>
    <w:p w:rsidR="006A5E94" w:rsidRPr="006A5E94" w:rsidRDefault="006A5E94" w:rsidP="006A5E94">
      <w:pPr>
        <w:spacing w:before="120"/>
        <w:jc w:val="both"/>
        <w:rPr>
          <w:i/>
          <w:iCs/>
          <w:sz w:val="22"/>
          <w:szCs w:val="22"/>
          <w:lang w:eastAsia="ja-JP"/>
        </w:rPr>
      </w:pPr>
      <w:r w:rsidRPr="006A5E94">
        <w:rPr>
          <w:i/>
          <w:iCs/>
          <w:sz w:val="22"/>
          <w:szCs w:val="22"/>
          <w:lang w:eastAsia="ja-JP"/>
        </w:rPr>
        <w:t>Символы</w:t>
      </w:r>
    </w:p>
    <w:tbl>
      <w:tblPr>
        <w:tblW w:w="0" w:type="auto"/>
        <w:tblInd w:w="108" w:type="dxa"/>
        <w:tblLook w:val="01E0"/>
      </w:tblPr>
      <w:tblGrid>
        <w:gridCol w:w="1107"/>
        <w:gridCol w:w="5543"/>
      </w:tblGrid>
      <w:tr w:rsidR="006A5E94" w:rsidRPr="000224B0" w:rsidTr="00F7403F">
        <w:tc>
          <w:tcPr>
            <w:tcW w:w="966" w:type="dxa"/>
            <w:vAlign w:val="center"/>
          </w:tcPr>
          <w:p w:rsidR="006A5E94" w:rsidRPr="000224B0" w:rsidRDefault="00ED2AED" w:rsidP="00F7403F">
            <w:pPr>
              <w:rPr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251938">
              <w:rPr>
                <w:b/>
                <w:i/>
                <w:noProof/>
                <w:sz w:val="20"/>
                <w:szCs w:val="20"/>
              </w:rPr>
              <w:pict>
                <v:shape id="Рисунок 1" o:spid="_x0000_i1025" type="#_x0000_t75" style="width:18.6pt;height:10.8pt;visibility:visible">
                  <v:imagedata r:id="rId9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6A5E94" w:rsidRPr="000224B0" w:rsidRDefault="006A5E94" w:rsidP="00F7403F">
            <w:pPr>
              <w:rPr>
                <w:b/>
                <w:bCs/>
                <w:i/>
                <w:iCs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Е</w:t>
            </w:r>
            <w:r w:rsidRPr="000224B0">
              <w:rPr>
                <w:sz w:val="20"/>
                <w:szCs w:val="20"/>
                <w:lang w:eastAsia="ja-JP"/>
              </w:rPr>
              <w:t>вропейски</w:t>
            </w:r>
            <w:r>
              <w:rPr>
                <w:sz w:val="20"/>
                <w:szCs w:val="20"/>
                <w:lang w:eastAsia="ja-JP"/>
              </w:rPr>
              <w:t>й</w:t>
            </w:r>
            <w:r w:rsidRPr="000224B0">
              <w:rPr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  <w:lang w:eastAsia="ja-JP"/>
              </w:rPr>
              <w:t>сертификат</w:t>
            </w:r>
          </w:p>
        </w:tc>
      </w:tr>
      <w:tr w:rsidR="006A5E94" w:rsidRPr="000224B0" w:rsidTr="00F7403F">
        <w:tc>
          <w:tcPr>
            <w:tcW w:w="966" w:type="dxa"/>
            <w:vAlign w:val="center"/>
          </w:tcPr>
          <w:p w:rsidR="006A5E94" w:rsidRPr="000224B0" w:rsidRDefault="00ED2AED" w:rsidP="00F7403F">
            <w:pPr>
              <w:rPr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251938">
              <w:rPr>
                <w:b/>
                <w:i/>
                <w:noProof/>
                <w:sz w:val="20"/>
                <w:szCs w:val="20"/>
              </w:rPr>
              <w:pict>
                <v:shape id="Рисунок 2" o:spid="_x0000_i1026" type="#_x0000_t75" style="width:29.4pt;height:12.6pt;visibility:visible">
                  <v:imagedata r:id="rId10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6A5E94" w:rsidRPr="000224B0" w:rsidRDefault="006A5E94" w:rsidP="00F7403F">
            <w:pPr>
              <w:rPr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0224B0">
              <w:rPr>
                <w:sz w:val="20"/>
                <w:szCs w:val="20"/>
                <w:lang w:eastAsia="ja-JP"/>
              </w:rPr>
              <w:t>Для диагностики in vitro</w:t>
            </w:r>
          </w:p>
        </w:tc>
      </w:tr>
      <w:tr w:rsidR="006A5E94" w:rsidRPr="000224B0" w:rsidTr="00F7403F">
        <w:tc>
          <w:tcPr>
            <w:tcW w:w="966" w:type="dxa"/>
            <w:vAlign w:val="center"/>
          </w:tcPr>
          <w:p w:rsidR="006A5E94" w:rsidRPr="000224B0" w:rsidRDefault="00ED2AED" w:rsidP="00F7403F">
            <w:pPr>
              <w:rPr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251938">
              <w:rPr>
                <w:b/>
                <w:i/>
                <w:noProof/>
                <w:sz w:val="20"/>
                <w:szCs w:val="20"/>
              </w:rPr>
              <w:pict>
                <v:shape id="Рисунок 3" o:spid="_x0000_i1027" type="#_x0000_t75" style="width:26.4pt;height:14.4pt;visibility:visible">
                  <v:imagedata r:id="rId11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6A5E94" w:rsidRPr="000224B0" w:rsidRDefault="006A5E94" w:rsidP="00F7403F">
            <w:pPr>
              <w:rPr>
                <w:sz w:val="20"/>
                <w:szCs w:val="20"/>
                <w:lang w:eastAsia="ja-JP"/>
              </w:rPr>
            </w:pPr>
            <w:r w:rsidRPr="000224B0">
              <w:rPr>
                <w:sz w:val="20"/>
                <w:szCs w:val="20"/>
                <w:lang w:eastAsia="ja-JP"/>
              </w:rPr>
              <w:t xml:space="preserve">Номер лота </w:t>
            </w:r>
          </w:p>
        </w:tc>
      </w:tr>
      <w:tr w:rsidR="006A5E94" w:rsidRPr="000224B0" w:rsidTr="00F7403F">
        <w:tc>
          <w:tcPr>
            <w:tcW w:w="966" w:type="dxa"/>
            <w:vAlign w:val="center"/>
          </w:tcPr>
          <w:p w:rsidR="006A5E94" w:rsidRPr="000224B0" w:rsidRDefault="00ED2AED" w:rsidP="00F7403F">
            <w:pPr>
              <w:rPr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251938">
              <w:rPr>
                <w:b/>
                <w:i/>
                <w:noProof/>
                <w:sz w:val="20"/>
                <w:szCs w:val="20"/>
              </w:rPr>
              <w:pict>
                <v:shape id="Рисунок 4" o:spid="_x0000_i1028" type="#_x0000_t75" style="width:29.4pt;height:13.8pt;visibility:visible">
                  <v:imagedata r:id="rId12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6A5E94" w:rsidRPr="000224B0" w:rsidRDefault="006A5E94" w:rsidP="00F7403F">
            <w:pPr>
              <w:rPr>
                <w:sz w:val="20"/>
                <w:szCs w:val="20"/>
                <w:lang w:eastAsia="ja-JP"/>
              </w:rPr>
            </w:pPr>
            <w:r w:rsidRPr="000224B0">
              <w:rPr>
                <w:sz w:val="20"/>
                <w:szCs w:val="20"/>
                <w:lang w:eastAsia="ja-JP"/>
              </w:rPr>
              <w:t>Каталожный номер продукта</w:t>
            </w:r>
          </w:p>
        </w:tc>
      </w:tr>
      <w:tr w:rsidR="006A5E94" w:rsidRPr="000224B0" w:rsidTr="00F7403F">
        <w:tc>
          <w:tcPr>
            <w:tcW w:w="966" w:type="dxa"/>
            <w:vAlign w:val="center"/>
          </w:tcPr>
          <w:p w:rsidR="006A5E94" w:rsidRPr="000224B0" w:rsidRDefault="00ED2AED" w:rsidP="00F7403F">
            <w:pPr>
              <w:rPr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251938">
              <w:rPr>
                <w:b/>
                <w:i/>
                <w:noProof/>
                <w:sz w:val="20"/>
                <w:szCs w:val="20"/>
              </w:rPr>
              <w:pict>
                <v:shape id="Рисунок 5" o:spid="_x0000_i1029" type="#_x0000_t75" style="width:18.6pt;height:14.4pt;visibility:visible">
                  <v:imagedata r:id="rId13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6A5E94" w:rsidRPr="000224B0" w:rsidRDefault="006A5E94" w:rsidP="00F7403F">
            <w:pPr>
              <w:rPr>
                <w:sz w:val="20"/>
                <w:szCs w:val="20"/>
                <w:lang w:eastAsia="ja-JP"/>
              </w:rPr>
            </w:pPr>
            <w:r w:rsidRPr="000224B0">
              <w:rPr>
                <w:sz w:val="20"/>
                <w:szCs w:val="20"/>
                <w:lang w:eastAsia="ja-JP"/>
              </w:rPr>
              <w:t>Производитель</w:t>
            </w:r>
          </w:p>
        </w:tc>
      </w:tr>
      <w:tr w:rsidR="006A5E94" w:rsidRPr="000224B0" w:rsidTr="00F7403F">
        <w:tc>
          <w:tcPr>
            <w:tcW w:w="966" w:type="dxa"/>
            <w:vAlign w:val="center"/>
          </w:tcPr>
          <w:p w:rsidR="006A5E94" w:rsidRPr="000224B0" w:rsidRDefault="00ED2AED" w:rsidP="00F7403F">
            <w:pPr>
              <w:rPr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251938">
              <w:rPr>
                <w:b/>
                <w:i/>
                <w:noProof/>
                <w:sz w:val="20"/>
                <w:szCs w:val="20"/>
              </w:rPr>
              <w:pict>
                <v:shape id="Рисунок 6" o:spid="_x0000_i1030" type="#_x0000_t75" style="width:44.4pt;height:16.2pt;visibility:visible">
                  <v:imagedata r:id="rId14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6A5E94" w:rsidRPr="000224B0" w:rsidRDefault="006A5E94" w:rsidP="00F7403F">
            <w:pPr>
              <w:rPr>
                <w:sz w:val="20"/>
                <w:szCs w:val="20"/>
                <w:lang w:eastAsia="ja-JP"/>
              </w:rPr>
            </w:pPr>
            <w:r w:rsidRPr="000224B0">
              <w:rPr>
                <w:sz w:val="20"/>
                <w:szCs w:val="20"/>
                <w:lang w:eastAsia="ja-JP"/>
              </w:rPr>
              <w:t>Уполномоченный представитель</w:t>
            </w:r>
          </w:p>
        </w:tc>
      </w:tr>
      <w:tr w:rsidR="006A5E94" w:rsidRPr="000224B0" w:rsidTr="00F7403F">
        <w:tc>
          <w:tcPr>
            <w:tcW w:w="966" w:type="dxa"/>
            <w:vAlign w:val="center"/>
          </w:tcPr>
          <w:p w:rsidR="006A5E94" w:rsidRPr="000224B0" w:rsidRDefault="00ED2AED" w:rsidP="00F7403F">
            <w:pPr>
              <w:rPr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251938">
              <w:rPr>
                <w:b/>
                <w:i/>
                <w:noProof/>
                <w:sz w:val="20"/>
                <w:szCs w:val="20"/>
              </w:rPr>
              <w:pict>
                <v:shape id="Рисунок 7" o:spid="_x0000_i1031" type="#_x0000_t75" style="width:27pt;height:16.8pt;visibility:visible">
                  <v:imagedata r:id="rId15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6A5E94" w:rsidRPr="000224B0" w:rsidRDefault="006A5E94" w:rsidP="00F7403F">
            <w:pPr>
              <w:rPr>
                <w:sz w:val="20"/>
                <w:szCs w:val="20"/>
                <w:lang w:eastAsia="ja-JP"/>
              </w:rPr>
            </w:pPr>
            <w:r w:rsidRPr="000224B0">
              <w:rPr>
                <w:sz w:val="20"/>
                <w:szCs w:val="20"/>
                <w:lang w:eastAsia="ja-JP"/>
              </w:rPr>
              <w:t>Содержимого достаточно для</w:t>
            </w:r>
          </w:p>
        </w:tc>
      </w:tr>
      <w:tr w:rsidR="006A5E94" w:rsidRPr="000224B0" w:rsidTr="00F7403F">
        <w:tc>
          <w:tcPr>
            <w:tcW w:w="966" w:type="dxa"/>
            <w:vAlign w:val="center"/>
          </w:tcPr>
          <w:p w:rsidR="006A5E94" w:rsidRPr="000224B0" w:rsidRDefault="00ED2AED" w:rsidP="00F7403F">
            <w:pPr>
              <w:rPr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251938">
              <w:rPr>
                <w:b/>
                <w:i/>
                <w:noProof/>
                <w:sz w:val="20"/>
                <w:szCs w:val="20"/>
              </w:rPr>
              <w:pict>
                <v:shape id="Рисунок 8" o:spid="_x0000_i1032" type="#_x0000_t75" style="width:18.6pt;height:19.2pt;visibility:visible">
                  <v:imagedata r:id="rId16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6A5E94" w:rsidRPr="000224B0" w:rsidRDefault="006A5E94" w:rsidP="00F7403F">
            <w:pPr>
              <w:rPr>
                <w:sz w:val="20"/>
                <w:szCs w:val="20"/>
                <w:lang w:eastAsia="ja-JP"/>
              </w:rPr>
            </w:pPr>
            <w:r w:rsidRPr="000224B0">
              <w:rPr>
                <w:sz w:val="20"/>
                <w:szCs w:val="20"/>
                <w:lang w:eastAsia="ja-JP"/>
              </w:rPr>
              <w:t xml:space="preserve">Температурные </w:t>
            </w:r>
            <w:r>
              <w:rPr>
                <w:sz w:val="20"/>
                <w:szCs w:val="20"/>
                <w:lang w:eastAsia="ja-JP"/>
              </w:rPr>
              <w:t>пределы</w:t>
            </w:r>
            <w:r w:rsidRPr="000224B0">
              <w:rPr>
                <w:sz w:val="20"/>
                <w:szCs w:val="20"/>
                <w:lang w:eastAsia="ja-JP"/>
              </w:rPr>
              <w:t xml:space="preserve"> </w:t>
            </w:r>
          </w:p>
        </w:tc>
      </w:tr>
      <w:tr w:rsidR="006A5E94" w:rsidRPr="000224B0" w:rsidTr="00F7403F">
        <w:trPr>
          <w:trHeight w:val="401"/>
        </w:trPr>
        <w:tc>
          <w:tcPr>
            <w:tcW w:w="966" w:type="dxa"/>
            <w:vAlign w:val="center"/>
          </w:tcPr>
          <w:p w:rsidR="006A5E94" w:rsidRPr="000224B0" w:rsidRDefault="00ED2AED" w:rsidP="00F7403F">
            <w:pPr>
              <w:rPr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251938">
              <w:rPr>
                <w:b/>
                <w:i/>
                <w:noProof/>
                <w:sz w:val="20"/>
                <w:szCs w:val="20"/>
              </w:rPr>
              <w:pict>
                <v:shape id="Рисунок 9" o:spid="_x0000_i1033" type="#_x0000_t75" style="width:15.6pt;height:16.8pt;visibility:visible">
                  <v:imagedata r:id="rId17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6A5E94" w:rsidRPr="000224B0" w:rsidRDefault="006A5E94" w:rsidP="00F7403F">
            <w:pPr>
              <w:rPr>
                <w:sz w:val="20"/>
                <w:szCs w:val="20"/>
                <w:lang w:eastAsia="ja-JP"/>
              </w:rPr>
            </w:pPr>
            <w:r w:rsidRPr="000224B0">
              <w:rPr>
                <w:sz w:val="20"/>
                <w:szCs w:val="20"/>
                <w:lang w:eastAsia="ja-JP"/>
              </w:rPr>
              <w:t>Срок хранения</w:t>
            </w:r>
          </w:p>
        </w:tc>
      </w:tr>
      <w:tr w:rsidR="006A5E94" w:rsidRPr="000224B0" w:rsidTr="00F7403F">
        <w:tc>
          <w:tcPr>
            <w:tcW w:w="966" w:type="dxa"/>
            <w:vAlign w:val="center"/>
          </w:tcPr>
          <w:p w:rsidR="006A5E94" w:rsidRPr="000224B0" w:rsidRDefault="00ED2AED" w:rsidP="00F7403F">
            <w:pPr>
              <w:rPr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251938">
              <w:rPr>
                <w:b/>
                <w:i/>
                <w:noProof/>
                <w:sz w:val="20"/>
                <w:szCs w:val="20"/>
              </w:rPr>
              <w:pict>
                <v:shape id="Рисунок 10" o:spid="_x0000_i1034" type="#_x0000_t75" style="width:18.6pt;height:15.6pt;visibility:visible">
                  <v:imagedata r:id="rId18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6A5E94" w:rsidRPr="000224B0" w:rsidRDefault="006A5E94" w:rsidP="00F7403F">
            <w:pPr>
              <w:rPr>
                <w:sz w:val="20"/>
                <w:szCs w:val="20"/>
                <w:lang w:eastAsia="ja-JP"/>
              </w:rPr>
            </w:pPr>
            <w:r w:rsidRPr="000224B0">
              <w:rPr>
                <w:sz w:val="20"/>
                <w:szCs w:val="20"/>
                <w:lang w:eastAsia="ja-JP"/>
              </w:rPr>
              <w:t xml:space="preserve">Обратите внимание на справочную документацию </w:t>
            </w:r>
          </w:p>
        </w:tc>
      </w:tr>
      <w:tr w:rsidR="006A5E94" w:rsidRPr="000224B0" w:rsidTr="00F7403F">
        <w:tc>
          <w:tcPr>
            <w:tcW w:w="966" w:type="dxa"/>
            <w:vAlign w:val="center"/>
          </w:tcPr>
          <w:p w:rsidR="006A5E94" w:rsidRPr="000224B0" w:rsidRDefault="00ED2AED" w:rsidP="00F7403F">
            <w:pPr>
              <w:rPr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251938">
              <w:rPr>
                <w:b/>
                <w:i/>
                <w:noProof/>
                <w:sz w:val="20"/>
                <w:szCs w:val="20"/>
              </w:rPr>
              <w:pict>
                <v:shape id="Рисунок 11" o:spid="_x0000_i1035" type="#_x0000_t75" style="width:21.6pt;height:13.8pt;visibility:visible">
                  <v:imagedata r:id="rId19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6A5E94" w:rsidRPr="000224B0" w:rsidRDefault="006A5E94" w:rsidP="00F7403F">
            <w:pPr>
              <w:rPr>
                <w:sz w:val="20"/>
                <w:szCs w:val="20"/>
                <w:lang w:eastAsia="ja-JP"/>
              </w:rPr>
            </w:pPr>
            <w:r w:rsidRPr="000224B0">
              <w:rPr>
                <w:sz w:val="20"/>
                <w:szCs w:val="20"/>
                <w:lang w:eastAsia="ja-JP"/>
              </w:rPr>
              <w:t>Следуйте инструкции</w:t>
            </w:r>
          </w:p>
        </w:tc>
      </w:tr>
      <w:tr w:rsidR="006A5E94" w:rsidRPr="000224B0" w:rsidTr="00F7403F">
        <w:tc>
          <w:tcPr>
            <w:tcW w:w="966" w:type="dxa"/>
            <w:vAlign w:val="center"/>
          </w:tcPr>
          <w:p w:rsidR="006A5E94" w:rsidRPr="000224B0" w:rsidRDefault="00ED2AED" w:rsidP="00F7403F">
            <w:pPr>
              <w:rPr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251938">
              <w:rPr>
                <w:b/>
                <w:i/>
                <w:noProof/>
                <w:sz w:val="20"/>
                <w:szCs w:val="20"/>
              </w:rPr>
              <w:pict>
                <v:shape id="Рисунок 12" o:spid="_x0000_i1036" type="#_x0000_t75" style="width:40.2pt;height:13.8pt;visibility:visible">
                  <v:imagedata r:id="rId20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6A5E94" w:rsidRPr="000224B0" w:rsidRDefault="006A5E94" w:rsidP="00F7403F">
            <w:pPr>
              <w:rPr>
                <w:sz w:val="20"/>
                <w:szCs w:val="20"/>
                <w:lang w:val="de-DE" w:eastAsia="ja-JP"/>
              </w:rPr>
            </w:pPr>
            <w:r w:rsidRPr="000224B0">
              <w:rPr>
                <w:sz w:val="20"/>
                <w:szCs w:val="20"/>
                <w:lang w:eastAsia="ja-JP"/>
              </w:rPr>
              <w:t>Калибратор</w:t>
            </w:r>
            <w:r w:rsidRPr="000224B0">
              <w:rPr>
                <w:sz w:val="20"/>
                <w:szCs w:val="20"/>
                <w:lang w:val="pt-BR" w:eastAsia="ja-JP"/>
              </w:rPr>
              <w:t xml:space="preserve"> 1</w:t>
            </w:r>
          </w:p>
        </w:tc>
      </w:tr>
      <w:tr w:rsidR="006A5E94" w:rsidRPr="000224B0" w:rsidTr="00F7403F">
        <w:tc>
          <w:tcPr>
            <w:tcW w:w="966" w:type="dxa"/>
            <w:vAlign w:val="center"/>
          </w:tcPr>
          <w:p w:rsidR="006A5E94" w:rsidRPr="000224B0" w:rsidRDefault="00251938" w:rsidP="00F7403F">
            <w:pPr>
              <w:rPr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251938">
              <w:rPr>
                <w:b/>
                <w:i/>
                <w:noProof/>
                <w:sz w:val="20"/>
                <w:szCs w:val="20"/>
              </w:rPr>
              <w:pict>
                <v:shape id="Рисунок 13" o:spid="_x0000_i1037" type="#_x0000_t75" style="width:40.2pt;height:14.4pt;visibility:visible">
                  <v:imagedata r:id="rId21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6A5E94" w:rsidRPr="000224B0" w:rsidRDefault="006A5E94" w:rsidP="00F7403F">
            <w:pPr>
              <w:rPr>
                <w:sz w:val="20"/>
                <w:szCs w:val="20"/>
                <w:lang w:val="pt-BR" w:eastAsia="ja-JP"/>
              </w:rPr>
            </w:pPr>
            <w:r w:rsidRPr="000224B0">
              <w:rPr>
                <w:sz w:val="20"/>
                <w:szCs w:val="20"/>
                <w:lang w:eastAsia="ja-JP"/>
              </w:rPr>
              <w:t>Калибратор</w:t>
            </w:r>
            <w:r w:rsidRPr="000224B0">
              <w:rPr>
                <w:sz w:val="20"/>
                <w:szCs w:val="20"/>
                <w:lang w:val="pt-BR" w:eastAsia="ja-JP"/>
              </w:rPr>
              <w:t xml:space="preserve"> 2</w:t>
            </w:r>
          </w:p>
        </w:tc>
      </w:tr>
      <w:tr w:rsidR="006A5E94" w:rsidRPr="000224B0" w:rsidTr="00F7403F">
        <w:tc>
          <w:tcPr>
            <w:tcW w:w="966" w:type="dxa"/>
            <w:vAlign w:val="center"/>
          </w:tcPr>
          <w:p w:rsidR="006A5E94" w:rsidRPr="000224B0" w:rsidRDefault="00251938" w:rsidP="00F7403F">
            <w:pPr>
              <w:rPr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251938">
              <w:rPr>
                <w:b/>
                <w:i/>
                <w:noProof/>
                <w:sz w:val="20"/>
                <w:szCs w:val="20"/>
              </w:rPr>
              <w:lastRenderedPageBreak/>
              <w:pict>
                <v:shape id="Рисунок 14" o:spid="_x0000_i1038" type="#_x0000_t75" style="width:39.6pt;height:13.8pt;visibility:visible">
                  <v:imagedata r:id="rId22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6A5E94" w:rsidRPr="000224B0" w:rsidRDefault="006A5E94" w:rsidP="00F7403F">
            <w:pPr>
              <w:rPr>
                <w:sz w:val="20"/>
                <w:szCs w:val="20"/>
                <w:lang w:eastAsia="ja-JP"/>
              </w:rPr>
            </w:pPr>
            <w:r w:rsidRPr="000224B0">
              <w:rPr>
                <w:sz w:val="20"/>
                <w:szCs w:val="20"/>
                <w:lang w:eastAsia="ja-JP"/>
              </w:rPr>
              <w:t>Разбавитель для калибратор</w:t>
            </w:r>
            <w:r>
              <w:rPr>
                <w:sz w:val="20"/>
                <w:szCs w:val="20"/>
                <w:lang w:eastAsia="ja-JP"/>
              </w:rPr>
              <w:t>а</w:t>
            </w:r>
          </w:p>
        </w:tc>
      </w:tr>
      <w:tr w:rsidR="006A5E94" w:rsidRPr="000224B0" w:rsidTr="00F7403F">
        <w:tc>
          <w:tcPr>
            <w:tcW w:w="966" w:type="dxa"/>
            <w:vAlign w:val="center"/>
          </w:tcPr>
          <w:p w:rsidR="006A5E94" w:rsidRPr="000224B0" w:rsidRDefault="00251938" w:rsidP="00F7403F">
            <w:pPr>
              <w:rPr>
                <w:b/>
                <w:i/>
                <w:noProof/>
                <w:sz w:val="20"/>
                <w:szCs w:val="20"/>
              </w:rPr>
            </w:pPr>
            <w:r w:rsidRPr="00251938">
              <w:rPr>
                <w:b/>
                <w:i/>
                <w:noProof/>
                <w:sz w:val="20"/>
                <w:szCs w:val="20"/>
              </w:rPr>
              <w:pict>
                <v:shape id="_x0000_i1039" type="#_x0000_t75" style="width:43.2pt;height:14.4pt">
                  <v:imagedata r:id="rId23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6A5E94" w:rsidRPr="000224B0" w:rsidRDefault="006A5E94" w:rsidP="00F7403F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Картридж с реагентами</w:t>
            </w:r>
          </w:p>
        </w:tc>
      </w:tr>
      <w:tr w:rsidR="006A5E94" w:rsidRPr="000224B0" w:rsidTr="00F7403F">
        <w:tc>
          <w:tcPr>
            <w:tcW w:w="966" w:type="dxa"/>
            <w:vAlign w:val="center"/>
          </w:tcPr>
          <w:p w:rsidR="006A5E94" w:rsidRPr="000224B0" w:rsidRDefault="00251938" w:rsidP="00F7403F">
            <w:pPr>
              <w:rPr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251938">
              <w:rPr>
                <w:b/>
                <w:i/>
                <w:noProof/>
                <w:sz w:val="20"/>
                <w:szCs w:val="20"/>
              </w:rPr>
              <w:pict>
                <v:shape id="Рисунок 15" o:spid="_x0000_i1040" type="#_x0000_t75" style="width:43.8pt;height:9.6pt;visibility:visible">
                  <v:imagedata r:id="rId24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6A5E94" w:rsidRPr="000224B0" w:rsidRDefault="006A5E94" w:rsidP="00F7403F">
            <w:pPr>
              <w:rPr>
                <w:sz w:val="20"/>
                <w:szCs w:val="20"/>
                <w:lang w:eastAsia="ja-JP"/>
              </w:rPr>
            </w:pPr>
            <w:r w:rsidRPr="000224B0">
              <w:rPr>
                <w:sz w:val="20"/>
                <w:szCs w:val="20"/>
                <w:lang w:eastAsia="ja-JP"/>
              </w:rPr>
              <w:t>Карта эталонной калибровки</w:t>
            </w:r>
          </w:p>
        </w:tc>
      </w:tr>
    </w:tbl>
    <w:p w:rsidR="006A5E94" w:rsidRPr="006A5E94" w:rsidRDefault="006A5E94" w:rsidP="006A5E94">
      <w:pPr>
        <w:spacing w:before="240"/>
        <w:rPr>
          <w:sz w:val="22"/>
          <w:szCs w:val="22"/>
          <w:lang w:val="en-US" w:eastAsia="ja-JP"/>
        </w:rPr>
      </w:pPr>
      <w:r w:rsidRPr="006A5E94">
        <w:rPr>
          <w:sz w:val="22"/>
          <w:szCs w:val="22"/>
          <w:lang w:val="en-US" w:eastAsia="ja-JP"/>
        </w:rPr>
        <w:t>* PATHFAST</w:t>
      </w:r>
      <w:r w:rsidRPr="006A5E94">
        <w:rPr>
          <w:sz w:val="22"/>
          <w:szCs w:val="22"/>
          <w:vertAlign w:val="superscript"/>
          <w:lang w:val="en-US" w:eastAsia="ja-JP"/>
        </w:rPr>
        <w:t>TM</w:t>
      </w:r>
      <w:r w:rsidRPr="006A5E94">
        <w:rPr>
          <w:sz w:val="22"/>
          <w:szCs w:val="22"/>
          <w:lang w:val="en-US" w:eastAsia="ja-JP"/>
        </w:rPr>
        <w:t xml:space="preserve"> – </w:t>
      </w:r>
      <w:r w:rsidR="00ED2AED" w:rsidRPr="00ED2AED">
        <w:rPr>
          <w:sz w:val="22"/>
          <w:szCs w:val="22"/>
          <w:lang w:eastAsia="ja-JP"/>
        </w:rPr>
        <w:t>LSI Medience Corporation</w:t>
      </w:r>
      <w:r w:rsidRPr="006A5E94">
        <w:rPr>
          <w:sz w:val="22"/>
          <w:szCs w:val="22"/>
          <w:lang w:val="en-US" w:eastAsia="ja-JP"/>
        </w:rPr>
        <w:t>.</w:t>
      </w:r>
    </w:p>
    <w:p w:rsidR="002E31B4" w:rsidRPr="005A4DB1" w:rsidRDefault="002E31B4" w:rsidP="006A5E94">
      <w:pPr>
        <w:spacing w:before="120"/>
        <w:jc w:val="both"/>
        <w:rPr>
          <w:rFonts w:ascii="Arial" w:hAnsi="Arial" w:cs="Arial"/>
          <w:sz w:val="16"/>
          <w:szCs w:val="16"/>
          <w:lang w:val="en-US" w:eastAsia="ja-JP"/>
        </w:rPr>
      </w:pPr>
    </w:p>
    <w:sectPr w:rsidR="002E31B4" w:rsidRPr="005A4DB1" w:rsidSect="00D460BE">
      <w:footerReference w:type="even" r:id="rId25"/>
      <w:footerReference w:type="default" r:id="rId26"/>
      <w:type w:val="continuous"/>
      <w:pgSz w:w="11906" w:h="16838"/>
      <w:pgMar w:top="709" w:right="707" w:bottom="993" w:left="851" w:header="540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C69" w:rsidRDefault="00485C69">
      <w:r>
        <w:separator/>
      </w:r>
    </w:p>
  </w:endnote>
  <w:endnote w:type="continuationSeparator" w:id="1">
    <w:p w:rsidR="00485C69" w:rsidRDefault="0048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F2" w:rsidRDefault="00251938" w:rsidP="00A329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24B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4BF2" w:rsidRDefault="00D24B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F2" w:rsidRDefault="00251938" w:rsidP="00A329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24BF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2AED">
      <w:rPr>
        <w:rStyle w:val="a6"/>
        <w:noProof/>
      </w:rPr>
      <w:t>6</w:t>
    </w:r>
    <w:r>
      <w:rPr>
        <w:rStyle w:val="a6"/>
      </w:rPr>
      <w:fldChar w:fldCharType="end"/>
    </w:r>
  </w:p>
  <w:p w:rsidR="00D24BF2" w:rsidRDefault="00D24B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C69" w:rsidRDefault="00485C69">
      <w:r>
        <w:separator/>
      </w:r>
    </w:p>
  </w:footnote>
  <w:footnote w:type="continuationSeparator" w:id="1">
    <w:p w:rsidR="00485C69" w:rsidRDefault="00485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488"/>
    <w:multiLevelType w:val="hybridMultilevel"/>
    <w:tmpl w:val="2382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36A50"/>
    <w:multiLevelType w:val="hybridMultilevel"/>
    <w:tmpl w:val="B36EF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85310"/>
    <w:multiLevelType w:val="hybridMultilevel"/>
    <w:tmpl w:val="71EE1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D50CE"/>
    <w:multiLevelType w:val="hybridMultilevel"/>
    <w:tmpl w:val="A290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872AC"/>
    <w:multiLevelType w:val="hybridMultilevel"/>
    <w:tmpl w:val="F4C01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77467"/>
    <w:multiLevelType w:val="hybridMultilevel"/>
    <w:tmpl w:val="2216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63629A"/>
    <w:multiLevelType w:val="hybridMultilevel"/>
    <w:tmpl w:val="3FD8B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093DDF"/>
    <w:multiLevelType w:val="hybridMultilevel"/>
    <w:tmpl w:val="E3DA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80C70"/>
    <w:multiLevelType w:val="hybridMultilevel"/>
    <w:tmpl w:val="D25A57F2"/>
    <w:lvl w:ilvl="0" w:tplc="543CFB4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 Antiqua" w:hAnsi="Book Antiqua" w:hint="default"/>
        <w:b w:val="0"/>
        <w:i w:val="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97E77D2"/>
    <w:multiLevelType w:val="hybridMultilevel"/>
    <w:tmpl w:val="14543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D3156"/>
    <w:multiLevelType w:val="hybridMultilevel"/>
    <w:tmpl w:val="EA36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E671F3"/>
    <w:multiLevelType w:val="hybridMultilevel"/>
    <w:tmpl w:val="A4E2E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F47279"/>
    <w:multiLevelType w:val="hybridMultilevel"/>
    <w:tmpl w:val="D55CD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C1BE8"/>
    <w:multiLevelType w:val="hybridMultilevel"/>
    <w:tmpl w:val="746CD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45F33"/>
    <w:multiLevelType w:val="hybridMultilevel"/>
    <w:tmpl w:val="747EA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676AAA"/>
    <w:multiLevelType w:val="hybridMultilevel"/>
    <w:tmpl w:val="BF28D1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6E914C1"/>
    <w:multiLevelType w:val="hybridMultilevel"/>
    <w:tmpl w:val="E60AA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A6B7F"/>
    <w:multiLevelType w:val="hybridMultilevel"/>
    <w:tmpl w:val="8C10C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423412"/>
    <w:multiLevelType w:val="hybridMultilevel"/>
    <w:tmpl w:val="8FF89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687EBA"/>
    <w:multiLevelType w:val="hybridMultilevel"/>
    <w:tmpl w:val="FB22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0629C0"/>
    <w:multiLevelType w:val="hybridMultilevel"/>
    <w:tmpl w:val="E9FE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57438"/>
    <w:multiLevelType w:val="hybridMultilevel"/>
    <w:tmpl w:val="8D707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510C3D"/>
    <w:multiLevelType w:val="hybridMultilevel"/>
    <w:tmpl w:val="4F0E4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396B86"/>
    <w:multiLevelType w:val="hybridMultilevel"/>
    <w:tmpl w:val="762E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150588"/>
    <w:multiLevelType w:val="hybridMultilevel"/>
    <w:tmpl w:val="C13A4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B20EB4"/>
    <w:multiLevelType w:val="hybridMultilevel"/>
    <w:tmpl w:val="3A0AD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145F89"/>
    <w:multiLevelType w:val="hybridMultilevel"/>
    <w:tmpl w:val="855C9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1C5194"/>
    <w:multiLevelType w:val="hybridMultilevel"/>
    <w:tmpl w:val="AE686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13"/>
  </w:num>
  <w:num w:numId="8">
    <w:abstractNumId w:val="4"/>
  </w:num>
  <w:num w:numId="9">
    <w:abstractNumId w:val="25"/>
  </w:num>
  <w:num w:numId="10">
    <w:abstractNumId w:val="18"/>
  </w:num>
  <w:num w:numId="11">
    <w:abstractNumId w:val="20"/>
  </w:num>
  <w:num w:numId="12">
    <w:abstractNumId w:val="26"/>
  </w:num>
  <w:num w:numId="13">
    <w:abstractNumId w:val="1"/>
  </w:num>
  <w:num w:numId="14">
    <w:abstractNumId w:val="3"/>
  </w:num>
  <w:num w:numId="15">
    <w:abstractNumId w:val="21"/>
  </w:num>
  <w:num w:numId="16">
    <w:abstractNumId w:val="11"/>
  </w:num>
  <w:num w:numId="17">
    <w:abstractNumId w:val="9"/>
  </w:num>
  <w:num w:numId="18">
    <w:abstractNumId w:val="2"/>
  </w:num>
  <w:num w:numId="19">
    <w:abstractNumId w:val="22"/>
  </w:num>
  <w:num w:numId="20">
    <w:abstractNumId w:val="5"/>
  </w:num>
  <w:num w:numId="21">
    <w:abstractNumId w:val="12"/>
  </w:num>
  <w:num w:numId="22">
    <w:abstractNumId w:val="24"/>
  </w:num>
  <w:num w:numId="23">
    <w:abstractNumId w:val="6"/>
  </w:num>
  <w:num w:numId="24">
    <w:abstractNumId w:val="16"/>
  </w:num>
  <w:num w:numId="25">
    <w:abstractNumId w:val="7"/>
  </w:num>
  <w:num w:numId="26">
    <w:abstractNumId w:val="19"/>
  </w:num>
  <w:num w:numId="27">
    <w:abstractNumId w:val="8"/>
  </w:num>
  <w:num w:numId="28">
    <w:abstractNumId w:val="27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1B4"/>
    <w:rsid w:val="00002723"/>
    <w:rsid w:val="00014CE7"/>
    <w:rsid w:val="00035023"/>
    <w:rsid w:val="00050F38"/>
    <w:rsid w:val="000523F3"/>
    <w:rsid w:val="00052B7B"/>
    <w:rsid w:val="000627B8"/>
    <w:rsid w:val="00066298"/>
    <w:rsid w:val="00070E1C"/>
    <w:rsid w:val="0007220F"/>
    <w:rsid w:val="00083CCB"/>
    <w:rsid w:val="00084422"/>
    <w:rsid w:val="000A4527"/>
    <w:rsid w:val="000D47F8"/>
    <w:rsid w:val="000D7535"/>
    <w:rsid w:val="000E0794"/>
    <w:rsid w:val="000E77D0"/>
    <w:rsid w:val="000E7F85"/>
    <w:rsid w:val="001136B5"/>
    <w:rsid w:val="0013244C"/>
    <w:rsid w:val="00154EEC"/>
    <w:rsid w:val="00161F21"/>
    <w:rsid w:val="00163AEA"/>
    <w:rsid w:val="001875FE"/>
    <w:rsid w:val="001C466E"/>
    <w:rsid w:val="001C6A25"/>
    <w:rsid w:val="001D048F"/>
    <w:rsid w:val="001D4419"/>
    <w:rsid w:val="001E1B74"/>
    <w:rsid w:val="001E2390"/>
    <w:rsid w:val="001F651F"/>
    <w:rsid w:val="002001B4"/>
    <w:rsid w:val="00200320"/>
    <w:rsid w:val="00247BE3"/>
    <w:rsid w:val="00251938"/>
    <w:rsid w:val="0027637C"/>
    <w:rsid w:val="002B62F2"/>
    <w:rsid w:val="002C125D"/>
    <w:rsid w:val="002C2AC9"/>
    <w:rsid w:val="002E31B4"/>
    <w:rsid w:val="00306F22"/>
    <w:rsid w:val="00344375"/>
    <w:rsid w:val="0037599C"/>
    <w:rsid w:val="003812D2"/>
    <w:rsid w:val="00382B82"/>
    <w:rsid w:val="003C4B8D"/>
    <w:rsid w:val="003C757E"/>
    <w:rsid w:val="003D088E"/>
    <w:rsid w:val="00403BAA"/>
    <w:rsid w:val="00430658"/>
    <w:rsid w:val="004365F0"/>
    <w:rsid w:val="00463470"/>
    <w:rsid w:val="0047036E"/>
    <w:rsid w:val="004744AC"/>
    <w:rsid w:val="00474BBA"/>
    <w:rsid w:val="00485C69"/>
    <w:rsid w:val="0048606D"/>
    <w:rsid w:val="004B52D9"/>
    <w:rsid w:val="004C7A72"/>
    <w:rsid w:val="004D19D8"/>
    <w:rsid w:val="00505AA4"/>
    <w:rsid w:val="00526B44"/>
    <w:rsid w:val="00526D67"/>
    <w:rsid w:val="00536DF9"/>
    <w:rsid w:val="005461B8"/>
    <w:rsid w:val="005611D3"/>
    <w:rsid w:val="0056606C"/>
    <w:rsid w:val="00572187"/>
    <w:rsid w:val="00572702"/>
    <w:rsid w:val="00573927"/>
    <w:rsid w:val="00580538"/>
    <w:rsid w:val="005917A7"/>
    <w:rsid w:val="005A415A"/>
    <w:rsid w:val="005A4DB1"/>
    <w:rsid w:val="005B28CE"/>
    <w:rsid w:val="005B36A2"/>
    <w:rsid w:val="005C7CC3"/>
    <w:rsid w:val="005E1756"/>
    <w:rsid w:val="00623D66"/>
    <w:rsid w:val="00624720"/>
    <w:rsid w:val="00637483"/>
    <w:rsid w:val="006651EF"/>
    <w:rsid w:val="00670DD8"/>
    <w:rsid w:val="006A5E94"/>
    <w:rsid w:val="006A6427"/>
    <w:rsid w:val="006B0B9B"/>
    <w:rsid w:val="006B4145"/>
    <w:rsid w:val="006C1C89"/>
    <w:rsid w:val="006E7DBB"/>
    <w:rsid w:val="00703004"/>
    <w:rsid w:val="00722787"/>
    <w:rsid w:val="00723538"/>
    <w:rsid w:val="00735D85"/>
    <w:rsid w:val="00754CA1"/>
    <w:rsid w:val="007B1770"/>
    <w:rsid w:val="007B4ECF"/>
    <w:rsid w:val="007C000C"/>
    <w:rsid w:val="007D0D0F"/>
    <w:rsid w:val="007F4744"/>
    <w:rsid w:val="007F4BEA"/>
    <w:rsid w:val="00835A17"/>
    <w:rsid w:val="008466E8"/>
    <w:rsid w:val="00852992"/>
    <w:rsid w:val="008540FB"/>
    <w:rsid w:val="00857CDC"/>
    <w:rsid w:val="008614A3"/>
    <w:rsid w:val="00884A3F"/>
    <w:rsid w:val="008F4EEA"/>
    <w:rsid w:val="009050CF"/>
    <w:rsid w:val="00920493"/>
    <w:rsid w:val="00922BC8"/>
    <w:rsid w:val="00951F31"/>
    <w:rsid w:val="00991489"/>
    <w:rsid w:val="00993326"/>
    <w:rsid w:val="00994F5F"/>
    <w:rsid w:val="00995CD3"/>
    <w:rsid w:val="009A0F83"/>
    <w:rsid w:val="009B6C5B"/>
    <w:rsid w:val="009C4E53"/>
    <w:rsid w:val="009E33E5"/>
    <w:rsid w:val="009F16EF"/>
    <w:rsid w:val="009F1943"/>
    <w:rsid w:val="00A20EDB"/>
    <w:rsid w:val="00A329EE"/>
    <w:rsid w:val="00A51044"/>
    <w:rsid w:val="00A636CD"/>
    <w:rsid w:val="00A74E4E"/>
    <w:rsid w:val="00A76FDD"/>
    <w:rsid w:val="00A825BC"/>
    <w:rsid w:val="00A86BA3"/>
    <w:rsid w:val="00AB51FF"/>
    <w:rsid w:val="00AC00D2"/>
    <w:rsid w:val="00AF1A5E"/>
    <w:rsid w:val="00B25436"/>
    <w:rsid w:val="00B321A1"/>
    <w:rsid w:val="00B533BE"/>
    <w:rsid w:val="00B6629C"/>
    <w:rsid w:val="00B81646"/>
    <w:rsid w:val="00B84C88"/>
    <w:rsid w:val="00BB5F03"/>
    <w:rsid w:val="00BC4FF9"/>
    <w:rsid w:val="00BD5899"/>
    <w:rsid w:val="00BD75B6"/>
    <w:rsid w:val="00BE419F"/>
    <w:rsid w:val="00C03E54"/>
    <w:rsid w:val="00C06BA5"/>
    <w:rsid w:val="00C179E3"/>
    <w:rsid w:val="00C26C1F"/>
    <w:rsid w:val="00C27738"/>
    <w:rsid w:val="00C30092"/>
    <w:rsid w:val="00C4036D"/>
    <w:rsid w:val="00C40C9A"/>
    <w:rsid w:val="00C50A2A"/>
    <w:rsid w:val="00C51F88"/>
    <w:rsid w:val="00C52422"/>
    <w:rsid w:val="00C576FA"/>
    <w:rsid w:val="00C65F5E"/>
    <w:rsid w:val="00CB3E63"/>
    <w:rsid w:val="00CC175F"/>
    <w:rsid w:val="00CD7B24"/>
    <w:rsid w:val="00CF4D10"/>
    <w:rsid w:val="00D13FEF"/>
    <w:rsid w:val="00D24BF2"/>
    <w:rsid w:val="00D460BE"/>
    <w:rsid w:val="00D53AA0"/>
    <w:rsid w:val="00D67150"/>
    <w:rsid w:val="00D7192F"/>
    <w:rsid w:val="00D76621"/>
    <w:rsid w:val="00D90EB5"/>
    <w:rsid w:val="00D9259B"/>
    <w:rsid w:val="00D96EDE"/>
    <w:rsid w:val="00DB6CF2"/>
    <w:rsid w:val="00DC15E8"/>
    <w:rsid w:val="00DC5CFF"/>
    <w:rsid w:val="00DE3EA3"/>
    <w:rsid w:val="00DF34DC"/>
    <w:rsid w:val="00E009FD"/>
    <w:rsid w:val="00E038EE"/>
    <w:rsid w:val="00E21736"/>
    <w:rsid w:val="00E42206"/>
    <w:rsid w:val="00E46258"/>
    <w:rsid w:val="00E76347"/>
    <w:rsid w:val="00E763F0"/>
    <w:rsid w:val="00EA23B0"/>
    <w:rsid w:val="00EA3AED"/>
    <w:rsid w:val="00EC3C7B"/>
    <w:rsid w:val="00ED2AED"/>
    <w:rsid w:val="00EE749A"/>
    <w:rsid w:val="00EF6424"/>
    <w:rsid w:val="00F0195F"/>
    <w:rsid w:val="00F05DC8"/>
    <w:rsid w:val="00F237E3"/>
    <w:rsid w:val="00F538F2"/>
    <w:rsid w:val="00F832A4"/>
    <w:rsid w:val="00F94A8C"/>
    <w:rsid w:val="00F96C49"/>
    <w:rsid w:val="00FB0E25"/>
    <w:rsid w:val="00FE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E63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2BC8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922BC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2BC8"/>
  </w:style>
  <w:style w:type="table" w:styleId="a7">
    <w:name w:val="Table Grid"/>
    <w:basedOn w:val="a1"/>
    <w:rsid w:val="0092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E038EE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C50A2A"/>
  </w:style>
  <w:style w:type="character" w:customStyle="1" w:styleId="hpsatn">
    <w:name w:val="hps atn"/>
    <w:basedOn w:val="a0"/>
    <w:rsid w:val="00C50A2A"/>
  </w:style>
  <w:style w:type="character" w:customStyle="1" w:styleId="atn">
    <w:name w:val="atn"/>
    <w:basedOn w:val="a0"/>
    <w:rsid w:val="002001B4"/>
  </w:style>
  <w:style w:type="character" w:customStyle="1" w:styleId="a5">
    <w:name w:val="Нижний колонтитул Знак"/>
    <w:basedOn w:val="a0"/>
    <w:link w:val="a4"/>
    <w:rsid w:val="006A5E94"/>
    <w:rPr>
      <w:sz w:val="24"/>
      <w:szCs w:val="24"/>
      <w:lang w:eastAsia="ko-KR"/>
    </w:rPr>
  </w:style>
  <w:style w:type="character" w:customStyle="1" w:styleId="a9">
    <w:name w:val="Без интервала Знак"/>
    <w:basedOn w:val="a0"/>
    <w:link w:val="a8"/>
    <w:uiPriority w:val="1"/>
    <w:rsid w:val="006A5E94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Title"/>
    <w:basedOn w:val="a"/>
    <w:link w:val="ab"/>
    <w:qFormat/>
    <w:rsid w:val="006A5E94"/>
    <w:pPr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ab">
    <w:name w:val="Название Знак"/>
    <w:basedOn w:val="a0"/>
    <w:link w:val="aa"/>
    <w:rsid w:val="006A5E94"/>
    <w:rPr>
      <w:rFonts w:eastAsia="Times New Roman"/>
      <w:b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PF1031-K CK-MB MCM ver 1</vt:lpstr>
    </vt:vector>
  </TitlesOfParts>
  <Company>Diakon</Company>
  <LinksUpToDate>false</LinksUpToDate>
  <CharactersWithSpaces>17524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PF1031-K CK-MB MCM ver 1</dc:title>
  <dc:subject/>
  <dc:creator>o.reznikova</dc:creator>
  <cp:keywords/>
  <cp:lastModifiedBy>a.aleynikov</cp:lastModifiedBy>
  <cp:revision>13</cp:revision>
  <dcterms:created xsi:type="dcterms:W3CDTF">2013-06-14T10:00:00Z</dcterms:created>
  <dcterms:modified xsi:type="dcterms:W3CDTF">2015-05-28T08:14:00Z</dcterms:modified>
</cp:coreProperties>
</file>