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A215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EA2154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СД (</w:t>
      </w:r>
      <w:proofErr w:type="spellStart"/>
      <w:r w:rsidRPr="00EA2154">
        <w:rPr>
          <w:rFonts w:ascii="Times New Roman" w:hAnsi="Times New Roman"/>
          <w:sz w:val="18"/>
          <w:szCs w:val="18"/>
        </w:rPr>
        <w:t>Autolyse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CD) предназначен для </w:t>
      </w:r>
      <w:proofErr w:type="spellStart"/>
      <w:r w:rsidRPr="00EA2154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эритроцитов и преобразования гемоглобина в автоматических гематологических анализаторах </w:t>
      </w:r>
      <w:proofErr w:type="spellStart"/>
      <w:r w:rsidRPr="00EA2154">
        <w:rPr>
          <w:rFonts w:ascii="Times New Roman" w:hAnsi="Times New Roman"/>
          <w:sz w:val="18"/>
          <w:szCs w:val="18"/>
        </w:rPr>
        <w:t>c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последующей количественной оценкой форменных элементов крови методом проточной </w:t>
      </w:r>
      <w:proofErr w:type="spellStart"/>
      <w:r w:rsidRPr="00EA2154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в клинико-диагностических лабораториях.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A215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EA2154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СД (</w:t>
      </w:r>
      <w:proofErr w:type="spellStart"/>
      <w:r w:rsidRPr="00EA2154">
        <w:rPr>
          <w:rFonts w:ascii="Times New Roman" w:hAnsi="Times New Roman"/>
          <w:sz w:val="18"/>
          <w:szCs w:val="18"/>
        </w:rPr>
        <w:t>Autolyse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CD) должен использоваться квалифицированным персоналом в области клинической лабораторной диагностики.</w:t>
      </w:r>
    </w:p>
    <w:p w:rsidR="00953310" w:rsidRPr="00EA2154" w:rsidRDefault="00EA2154" w:rsidP="00EA21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EA2154">
        <w:rPr>
          <w:rFonts w:ascii="Times New Roman" w:hAnsi="Times New Roman"/>
          <w:b/>
          <w:sz w:val="18"/>
          <w:szCs w:val="18"/>
        </w:rPr>
        <w:t>Лизирующий</w:t>
      </w:r>
      <w:proofErr w:type="spellEnd"/>
      <w:r w:rsidRPr="00EA2154">
        <w:rPr>
          <w:rFonts w:ascii="Times New Roman" w:hAnsi="Times New Roman"/>
          <w:b/>
          <w:sz w:val="18"/>
          <w:szCs w:val="18"/>
        </w:rPr>
        <w:t xml:space="preserve"> реагент </w:t>
      </w:r>
      <w:proofErr w:type="spellStart"/>
      <w:r w:rsidRPr="00EA2154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EA2154">
        <w:rPr>
          <w:rFonts w:ascii="Times New Roman" w:hAnsi="Times New Roman"/>
          <w:b/>
          <w:sz w:val="18"/>
          <w:szCs w:val="18"/>
        </w:rPr>
        <w:t xml:space="preserve"> СД (</w:t>
      </w:r>
      <w:proofErr w:type="spellStart"/>
      <w:r w:rsidRPr="00EA2154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EA2154">
        <w:rPr>
          <w:rFonts w:ascii="Times New Roman" w:hAnsi="Times New Roman"/>
          <w:b/>
          <w:sz w:val="18"/>
          <w:szCs w:val="18"/>
        </w:rPr>
        <w:t xml:space="preserve"> CD) выпускается в жидком виде во флаконах</w:t>
      </w:r>
      <w:r w:rsidR="00953310" w:rsidRPr="00EA215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A2154" w:rsidP="00EA215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B16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E57B16" w:rsidRPr="00953310" w:rsidRDefault="00EA2154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EA2154" w:rsidP="00EA215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B16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EA2154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E57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EA2154" w:rsidP="00EA215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B16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ДДС_</w:t>
            </w:r>
          </w:p>
        </w:tc>
        <w:tc>
          <w:tcPr>
            <w:tcW w:w="1701" w:type="dxa"/>
          </w:tcPr>
          <w:p w:rsidR="00953310" w:rsidRPr="00953310" w:rsidRDefault="00EA2154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E57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</w:tbl>
    <w:p w:rsidR="00EA2154" w:rsidRPr="00EA2154" w:rsidRDefault="00EA2154" w:rsidP="00EA2154">
      <w:pPr>
        <w:pStyle w:val="af1"/>
        <w:jc w:val="both"/>
        <w:rPr>
          <w:rFonts w:ascii="Times New Roman" w:hAnsi="Times New Roman"/>
          <w:b/>
          <w:i/>
          <w:w w:val="105"/>
          <w:sz w:val="18"/>
          <w:szCs w:val="18"/>
        </w:rPr>
      </w:pPr>
      <w:r w:rsidRPr="00EA2154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EA2154">
        <w:rPr>
          <w:rFonts w:ascii="Times New Roman" w:hAnsi="Times New Roman"/>
          <w:spacing w:val="1"/>
          <w:w w:val="105"/>
          <w:sz w:val="18"/>
          <w:szCs w:val="18"/>
        </w:rPr>
        <w:t xml:space="preserve">анализаторов </w:t>
      </w:r>
      <w:proofErr w:type="spellStart"/>
      <w:r w:rsidRPr="00EA2154">
        <w:rPr>
          <w:rFonts w:ascii="Times New Roman" w:hAnsi="Times New Roman"/>
          <w:b/>
          <w:i/>
          <w:spacing w:val="1"/>
          <w:w w:val="105"/>
          <w:sz w:val="18"/>
          <w:szCs w:val="18"/>
        </w:rPr>
        <w:t>Abbot</w:t>
      </w:r>
      <w:proofErr w:type="spellEnd"/>
      <w:r w:rsidRPr="00EA2154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 </w:t>
      </w:r>
      <w:proofErr w:type="spellStart"/>
      <w:r w:rsidRPr="00EA2154">
        <w:rPr>
          <w:rFonts w:ascii="Times New Roman" w:hAnsi="Times New Roman"/>
          <w:i/>
          <w:spacing w:val="1"/>
          <w:w w:val="105"/>
          <w:sz w:val="18"/>
          <w:szCs w:val="18"/>
        </w:rPr>
        <w:t>Cell-Dyn</w:t>
      </w:r>
      <w:proofErr w:type="spellEnd"/>
      <w:r w:rsidRPr="00EA2154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</w:t>
      </w:r>
      <w:r w:rsidRPr="00EA2154">
        <w:rPr>
          <w:rFonts w:ascii="Times New Roman" w:hAnsi="Times New Roman"/>
          <w:spacing w:val="1"/>
          <w:w w:val="105"/>
          <w:sz w:val="18"/>
          <w:szCs w:val="18"/>
        </w:rPr>
        <w:t xml:space="preserve">серии </w:t>
      </w:r>
      <w:r w:rsidRPr="00EA2154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CD 1400, CD 1600, CD 1700, CD 2000, CD 1200, </w:t>
      </w:r>
      <w:proofErr w:type="spellStart"/>
      <w:r w:rsidRPr="00EA2154">
        <w:rPr>
          <w:rFonts w:ascii="Times New Roman" w:hAnsi="Times New Roman"/>
          <w:b/>
          <w:i/>
          <w:w w:val="105"/>
          <w:sz w:val="18"/>
          <w:szCs w:val="18"/>
        </w:rPr>
        <w:t>Mindray</w:t>
      </w:r>
      <w:proofErr w:type="spellEnd"/>
      <w:r w:rsidRPr="00EA2154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EA2154">
        <w:rPr>
          <w:rFonts w:ascii="Times New Roman" w:hAnsi="Times New Roman"/>
          <w:spacing w:val="1"/>
          <w:w w:val="105"/>
          <w:sz w:val="18"/>
          <w:szCs w:val="18"/>
        </w:rPr>
        <w:t xml:space="preserve">серии BC 2800, BC 3000, BC 3000+, </w:t>
      </w:r>
      <w:r w:rsidRPr="00EA2154">
        <w:rPr>
          <w:rFonts w:ascii="Times New Roman" w:hAnsi="Times New Roman"/>
          <w:spacing w:val="1"/>
          <w:w w:val="105"/>
          <w:sz w:val="18"/>
          <w:szCs w:val="18"/>
          <w:lang w:val="en-US"/>
        </w:rPr>
        <w:t>BC</w:t>
      </w:r>
      <w:r w:rsidRPr="00EA2154">
        <w:rPr>
          <w:rFonts w:ascii="Times New Roman" w:hAnsi="Times New Roman"/>
          <w:spacing w:val="1"/>
          <w:w w:val="105"/>
          <w:sz w:val="18"/>
          <w:szCs w:val="18"/>
        </w:rPr>
        <w:t xml:space="preserve"> 3200</w:t>
      </w:r>
      <w:r w:rsidRPr="00EA2154">
        <w:rPr>
          <w:rFonts w:ascii="Times New Roman" w:hAnsi="Times New Roman"/>
          <w:i/>
          <w:w w:val="105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ПРИНЦИП МЕТОДА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A215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реагент предназначен для </w:t>
      </w:r>
      <w:proofErr w:type="spellStart"/>
      <w:r w:rsidRPr="00EA2154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эритроцитов крови и преобразования гемоглобина в измеряемый комплекс в автоматических гематологических анализаторах. При добавлении к суспензии разведенной крови </w:t>
      </w:r>
      <w:proofErr w:type="spellStart"/>
      <w:r w:rsidRPr="00EA215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раствор быстро разрушает цитоплазматическую мембрану эритроцитов и вызывает сжатие ее в плотные частицы с малым объемом, которые не мешают подсчету белых клеток крови. Под действием поверхностно-активных соединений </w:t>
      </w:r>
      <w:proofErr w:type="spellStart"/>
      <w:r w:rsidRPr="00EA2154">
        <w:rPr>
          <w:rFonts w:ascii="Times New Roman" w:hAnsi="Times New Roman"/>
          <w:sz w:val="18"/>
          <w:szCs w:val="18"/>
        </w:rPr>
        <w:t>гемолитика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различные формы лейкоцитов претерпевают изменения размеров в разной степени, что создает основу  для разделения лейкоцитов на </w:t>
      </w:r>
      <w:proofErr w:type="spellStart"/>
      <w:r w:rsidRPr="00EA2154">
        <w:rPr>
          <w:rFonts w:ascii="Times New Roman" w:hAnsi="Times New Roman"/>
          <w:sz w:val="18"/>
          <w:szCs w:val="18"/>
        </w:rPr>
        <w:t>субпопуляции</w:t>
      </w:r>
      <w:proofErr w:type="spellEnd"/>
      <w:r w:rsidRPr="00EA2154">
        <w:rPr>
          <w:rFonts w:ascii="Times New Roman" w:hAnsi="Times New Roman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2829"/>
        <w:gridCol w:w="992"/>
      </w:tblGrid>
      <w:tr w:rsidR="00470254" w:rsidTr="00EA2154">
        <w:tc>
          <w:tcPr>
            <w:tcW w:w="1390" w:type="dxa"/>
            <w:vMerge w:val="restart"/>
          </w:tcPr>
          <w:p w:rsidR="00470254" w:rsidRPr="00470254" w:rsidRDefault="00EA2154" w:rsidP="00EA215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Лизирующий</w:t>
            </w:r>
            <w:proofErr w:type="spellEnd"/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Аутолайз</w:t>
            </w:r>
            <w:proofErr w:type="spellEnd"/>
            <w:r w:rsidR="00E57B16" w:rsidRPr="00E57B1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СД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829" w:type="dxa"/>
          </w:tcPr>
          <w:p w:rsidR="00470254" w:rsidRPr="00EA2154" w:rsidRDefault="00EA2154" w:rsidP="00EA2154">
            <w:pPr>
              <w:pStyle w:val="af1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2154">
              <w:rPr>
                <w:rFonts w:ascii="Times New Roman" w:hAnsi="Times New Roman"/>
                <w:sz w:val="18"/>
                <w:szCs w:val="18"/>
                <w:lang w:eastAsia="ru-RU"/>
              </w:rPr>
              <w:t>Додецилтриметиламмония</w:t>
            </w:r>
            <w:proofErr w:type="spellEnd"/>
            <w:r w:rsidRPr="00EA215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992" w:type="dxa"/>
          </w:tcPr>
          <w:p w:rsidR="00470254" w:rsidRDefault="00470254" w:rsidP="00EA21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>
              <w:rPr>
                <w:rFonts w:ascii="Times New Roman" w:hAnsi="Times New Roman"/>
                <w:sz w:val="18"/>
                <w:szCs w:val="18"/>
              </w:rPr>
              <w:t>4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470254" w:rsidTr="00EA2154">
        <w:tc>
          <w:tcPr>
            <w:tcW w:w="1390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470254" w:rsidRPr="00EA2154" w:rsidRDefault="00EA2154" w:rsidP="00EA2154">
            <w:pPr>
              <w:pStyle w:val="af1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A2154">
              <w:rPr>
                <w:rFonts w:ascii="Times New Roman" w:hAnsi="Times New Roman"/>
                <w:sz w:val="18"/>
                <w:szCs w:val="18"/>
                <w:lang w:eastAsia="ru-RU"/>
              </w:rPr>
              <w:t>Калия цианид</w:t>
            </w:r>
          </w:p>
        </w:tc>
        <w:tc>
          <w:tcPr>
            <w:tcW w:w="992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>
              <w:rPr>
                <w:rFonts w:ascii="Times New Roman" w:hAnsi="Times New Roman"/>
                <w:sz w:val="18"/>
                <w:szCs w:val="18"/>
              </w:rPr>
              <w:t>0,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  <w:tr w:rsidR="00470254" w:rsidTr="00EA2154">
        <w:tc>
          <w:tcPr>
            <w:tcW w:w="1390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470254" w:rsidRPr="00EA2154" w:rsidRDefault="00EA2154" w:rsidP="00EA2154">
            <w:pPr>
              <w:pStyle w:val="af1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2154">
              <w:rPr>
                <w:rFonts w:ascii="Times New Roman" w:hAnsi="Times New Roman"/>
                <w:sz w:val="18"/>
                <w:szCs w:val="18"/>
                <w:lang w:eastAsia="ru-RU"/>
              </w:rPr>
              <w:t>Изопропанол</w:t>
            </w:r>
            <w:proofErr w:type="spellEnd"/>
          </w:p>
        </w:tc>
        <w:tc>
          <w:tcPr>
            <w:tcW w:w="992" w:type="dxa"/>
          </w:tcPr>
          <w:p w:rsidR="00470254" w:rsidRDefault="00470254" w:rsidP="00EA21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>
              <w:rPr>
                <w:rFonts w:ascii="Times New Roman" w:hAnsi="Times New Roman"/>
                <w:sz w:val="18"/>
                <w:szCs w:val="18"/>
              </w:rPr>
              <w:t>3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470254" w:rsidTr="00EA2154">
        <w:tc>
          <w:tcPr>
            <w:tcW w:w="1390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</w:tcPr>
          <w:p w:rsidR="00470254" w:rsidRPr="00EA2154" w:rsidRDefault="00470254" w:rsidP="00EA2154">
            <w:pPr>
              <w:pStyle w:val="af1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215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EA215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992" w:type="dxa"/>
          </w:tcPr>
          <w:p w:rsidR="00470254" w:rsidRDefault="00470254" w:rsidP="00EA21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≥ 9</w:t>
            </w:r>
            <w:r w:rsidR="00EA2154">
              <w:rPr>
                <w:rFonts w:ascii="Times New Roman" w:hAnsi="Times New Roman"/>
                <w:sz w:val="18"/>
                <w:szCs w:val="18"/>
              </w:rPr>
              <w:t>2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>,</w:t>
            </w:r>
            <w:r w:rsidR="00EA2154">
              <w:rPr>
                <w:rFonts w:ascii="Times New Roman" w:hAnsi="Times New Roman"/>
                <w:sz w:val="18"/>
                <w:szCs w:val="18"/>
              </w:rPr>
              <w:t>9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A2154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A2154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EA2154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. Реагент имеет фиксированные значения рН и </w:t>
      </w:r>
      <w:proofErr w:type="spellStart"/>
      <w:r w:rsidRPr="00EA2154">
        <w:rPr>
          <w:rFonts w:ascii="Times New Roman" w:hAnsi="Times New Roman"/>
          <w:sz w:val="18"/>
          <w:szCs w:val="18"/>
        </w:rPr>
        <w:t>осмоляльности</w:t>
      </w:r>
      <w:bookmarkStart w:id="0" w:name="_GoBack"/>
      <w:bookmarkEnd w:id="0"/>
      <w:proofErr w:type="spellEnd"/>
      <w:r w:rsidRPr="00EA2154">
        <w:rPr>
          <w:rFonts w:ascii="Times New Roman" w:hAnsi="Times New Roman"/>
          <w:sz w:val="18"/>
          <w:szCs w:val="18"/>
        </w:rPr>
        <w:t>.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A2154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A2154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A2154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gramStart"/>
      <w:r w:rsidRPr="00EA2154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EA215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A2154">
        <w:rPr>
          <w:rFonts w:ascii="Times New Roman" w:hAnsi="Times New Roman"/>
          <w:sz w:val="18"/>
          <w:szCs w:val="18"/>
        </w:rPr>
        <w:t>Абнормал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A2154">
        <w:rPr>
          <w:rFonts w:ascii="Times New Roman" w:hAnsi="Times New Roman"/>
          <w:sz w:val="18"/>
          <w:szCs w:val="18"/>
        </w:rPr>
        <w:t>Лоу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A2154">
        <w:rPr>
          <w:rFonts w:ascii="Times New Roman" w:hAnsi="Times New Roman"/>
          <w:sz w:val="18"/>
          <w:szCs w:val="18"/>
        </w:rPr>
        <w:t>(</w:t>
      </w:r>
      <w:proofErr w:type="spellStart"/>
      <w:r w:rsidRPr="00EA2154">
        <w:rPr>
          <w:rFonts w:ascii="Times New Roman" w:hAnsi="Times New Roman"/>
          <w:sz w:val="18"/>
          <w:szCs w:val="18"/>
        </w:rPr>
        <w:t>Kontrollblod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A2154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A2154">
        <w:rPr>
          <w:rFonts w:ascii="Times New Roman" w:hAnsi="Times New Roman"/>
          <w:sz w:val="18"/>
          <w:szCs w:val="18"/>
        </w:rPr>
        <w:t>Low</w:t>
      </w:r>
      <w:proofErr w:type="spellEnd"/>
      <w:r w:rsidRPr="00EA2154">
        <w:rPr>
          <w:rFonts w:ascii="Times New Roman" w:hAnsi="Times New Roman"/>
          <w:sz w:val="18"/>
          <w:szCs w:val="18"/>
        </w:rPr>
        <w:t>)»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EA2154">
        <w:rPr>
          <w:rFonts w:ascii="Times New Roman" w:hAnsi="Times New Roman"/>
          <w:sz w:val="18"/>
          <w:szCs w:val="18"/>
        </w:rPr>
        <w:t>(кат.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EA2154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EA215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A2154">
        <w:rPr>
          <w:rFonts w:ascii="Times New Roman" w:hAnsi="Times New Roman"/>
          <w:sz w:val="18"/>
          <w:szCs w:val="18"/>
        </w:rPr>
        <w:t>Нормал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A2154">
        <w:rPr>
          <w:rFonts w:ascii="Times New Roman" w:hAnsi="Times New Roman"/>
          <w:sz w:val="18"/>
          <w:szCs w:val="18"/>
        </w:rPr>
        <w:t>Kontrollblod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A2154">
        <w:rPr>
          <w:rFonts w:ascii="Times New Roman" w:hAnsi="Times New Roman"/>
          <w:sz w:val="18"/>
          <w:szCs w:val="18"/>
        </w:rPr>
        <w:t>Normal</w:t>
      </w:r>
      <w:proofErr w:type="spellEnd"/>
      <w:r w:rsidRPr="00EA2154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A2154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EA215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A2154">
        <w:rPr>
          <w:rFonts w:ascii="Times New Roman" w:hAnsi="Times New Roman"/>
          <w:sz w:val="18"/>
          <w:szCs w:val="18"/>
        </w:rPr>
        <w:t>Абнормал</w:t>
      </w:r>
      <w:proofErr w:type="spellEnd"/>
      <w:proofErr w:type="gramStart"/>
      <w:r w:rsidRPr="00EA2154">
        <w:rPr>
          <w:rFonts w:ascii="Times New Roman" w:hAnsi="Times New Roman"/>
          <w:sz w:val="18"/>
          <w:szCs w:val="18"/>
        </w:rPr>
        <w:t xml:space="preserve"> Х</w:t>
      </w:r>
      <w:proofErr w:type="gramEnd"/>
      <w:r w:rsidRPr="00EA2154">
        <w:rPr>
          <w:rFonts w:ascii="Times New Roman" w:hAnsi="Times New Roman"/>
          <w:sz w:val="18"/>
          <w:szCs w:val="18"/>
        </w:rPr>
        <w:t xml:space="preserve">ай </w:t>
      </w:r>
      <w:r w:rsidRPr="00EA2154">
        <w:rPr>
          <w:rFonts w:ascii="Times New Roman" w:hAnsi="Times New Roman"/>
          <w:sz w:val="18"/>
          <w:szCs w:val="18"/>
        </w:rPr>
        <w:lastRenderedPageBreak/>
        <w:t>(</w:t>
      </w:r>
      <w:proofErr w:type="spellStart"/>
      <w:r w:rsidRPr="00EA2154">
        <w:rPr>
          <w:rFonts w:ascii="Times New Roman" w:hAnsi="Times New Roman"/>
          <w:sz w:val="18"/>
          <w:szCs w:val="18"/>
        </w:rPr>
        <w:t>Kontrollblod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A2154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A2154">
        <w:rPr>
          <w:rFonts w:ascii="Times New Roman" w:hAnsi="Times New Roman"/>
          <w:sz w:val="18"/>
          <w:szCs w:val="18"/>
        </w:rPr>
        <w:t>High</w:t>
      </w:r>
      <w:proofErr w:type="spellEnd"/>
      <w:r w:rsidRPr="00EA2154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A2154">
        <w:rPr>
          <w:rFonts w:ascii="Times New Roman" w:hAnsi="Times New Roman"/>
          <w:sz w:val="18"/>
          <w:szCs w:val="18"/>
        </w:rPr>
        <w:t xml:space="preserve">№ </w:t>
      </w:r>
      <w:proofErr w:type="gramStart"/>
      <w:r w:rsidRPr="00EA2154">
        <w:rPr>
          <w:rFonts w:ascii="Times New Roman" w:hAnsi="Times New Roman"/>
          <w:sz w:val="18"/>
          <w:szCs w:val="18"/>
        </w:rPr>
        <w:t xml:space="preserve">KB163 ST) производства </w:t>
      </w:r>
      <w:r w:rsidRPr="00EA2154">
        <w:rPr>
          <w:rFonts w:ascii="Times New Roman" w:hAnsi="Times New Roman"/>
          <w:sz w:val="18"/>
          <w:szCs w:val="18"/>
          <w:lang w:val="en-US"/>
        </w:rPr>
        <w:t>LABEX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A2154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A2154">
        <w:rPr>
          <w:rFonts w:ascii="Times New Roman" w:hAnsi="Times New Roman"/>
          <w:sz w:val="18"/>
          <w:szCs w:val="18"/>
          <w:lang w:val="en-US"/>
        </w:rPr>
        <w:t>AB</w:t>
      </w:r>
      <w:r>
        <w:rPr>
          <w:rFonts w:ascii="Times New Roman" w:hAnsi="Times New Roman"/>
          <w:sz w:val="18"/>
          <w:szCs w:val="18"/>
        </w:rPr>
        <w:t xml:space="preserve"> </w:t>
      </w:r>
      <w:r w:rsidRPr="00EA2154">
        <w:rPr>
          <w:rFonts w:ascii="Times New Roman" w:hAnsi="Times New Roman"/>
          <w:sz w:val="18"/>
          <w:szCs w:val="18"/>
        </w:rPr>
        <w:t>(Швеция).</w:t>
      </w:r>
      <w:proofErr w:type="gramEnd"/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EA2154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A2154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r w:rsidRPr="00EA2154">
        <w:rPr>
          <w:rFonts w:ascii="Times New Roman" w:hAnsi="Times New Roman"/>
          <w:i/>
          <w:sz w:val="18"/>
          <w:szCs w:val="18"/>
        </w:rPr>
        <w:t>in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EA2154">
        <w:rPr>
          <w:rFonts w:ascii="Times New Roman" w:hAnsi="Times New Roman"/>
          <w:i/>
          <w:sz w:val="18"/>
          <w:szCs w:val="18"/>
        </w:rPr>
        <w:t>vitro</w:t>
      </w:r>
      <w:r w:rsidRPr="00EA2154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A2154">
        <w:rPr>
          <w:rFonts w:ascii="Times New Roman" w:hAnsi="Times New Roman"/>
          <w:sz w:val="18"/>
          <w:szCs w:val="18"/>
        </w:rPr>
        <w:t>Не сливать в канализацию, утилизировать согласно действующим нормативным документам.</w:t>
      </w:r>
    </w:p>
    <w:p w:rsidR="00E55200" w:rsidRPr="00EA2154" w:rsidRDefault="00E55200" w:rsidP="00EA2154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A2154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A2154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EA2154" w:rsidRPr="00EA2154" w:rsidRDefault="00EA2154" w:rsidP="00EA21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A2154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EA2154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EA2154">
        <w:rPr>
          <w:rFonts w:ascii="Times New Roman" w:hAnsi="Times New Roman"/>
          <w:sz w:val="18"/>
          <w:szCs w:val="18"/>
        </w:rPr>
        <w:t xml:space="preserve"> режима и личной гигиены при работе </w:t>
      </w:r>
      <w:proofErr w:type="gramStart"/>
      <w:r w:rsidRPr="00EA2154">
        <w:rPr>
          <w:rFonts w:ascii="Times New Roman" w:hAnsi="Times New Roman"/>
          <w:sz w:val="18"/>
          <w:szCs w:val="18"/>
        </w:rPr>
        <w:t>в</w:t>
      </w:r>
      <w:proofErr w:type="gramEnd"/>
      <w:r w:rsidRPr="00EA215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A2154">
        <w:rPr>
          <w:rFonts w:ascii="Times New Roman" w:hAnsi="Times New Roman"/>
          <w:sz w:val="18"/>
          <w:szCs w:val="18"/>
        </w:rPr>
        <w:t>лабораториях</w:t>
      </w:r>
      <w:proofErr w:type="gramEnd"/>
      <w:r w:rsidRPr="00EA2154">
        <w:rPr>
          <w:rFonts w:ascii="Times New Roman" w:hAnsi="Times New Roman"/>
          <w:sz w:val="18"/>
          <w:szCs w:val="18"/>
        </w:rPr>
        <w:t xml:space="preserve">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EA2154">
          <w:rPr>
            <w:rFonts w:ascii="Times New Roman" w:hAnsi="Times New Roman"/>
            <w:sz w:val="18"/>
            <w:szCs w:val="18"/>
          </w:rPr>
          <w:t>1981 г</w:t>
        </w:r>
      </w:smartTag>
      <w:r w:rsidRPr="00EA2154">
        <w:rPr>
          <w:rFonts w:ascii="Times New Roman" w:hAnsi="Times New Roman"/>
          <w:sz w:val="18"/>
          <w:szCs w:val="18"/>
        </w:rPr>
        <w:t>.).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EA2154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>Избегать контакта с кислотами, при контакте с кислотами образуется токсичная газообразная синильная кислота.</w:t>
      </w:r>
    </w:p>
    <w:p w:rsidR="00E55200" w:rsidRPr="00E55200" w:rsidRDefault="00E55200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>Возможное токсическое действие на организм человека и меры первой помощи:</w:t>
      </w:r>
    </w:p>
    <w:tbl>
      <w:tblPr>
        <w:tblW w:w="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210"/>
        <w:gridCol w:w="1253"/>
        <w:gridCol w:w="1237"/>
      </w:tblGrid>
      <w:tr w:rsidR="00EA2154" w:rsidRPr="009C4357" w:rsidTr="00E55200">
        <w:tc>
          <w:tcPr>
            <w:tcW w:w="1342" w:type="dxa"/>
            <w:shd w:val="clear" w:color="auto" w:fill="auto"/>
          </w:tcPr>
          <w:p w:rsidR="00EA2154" w:rsidRPr="00E55200" w:rsidRDefault="00EA2154" w:rsidP="00E5520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При вдыхании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A2154" w:rsidRPr="00E55200" w:rsidRDefault="00EA2154" w:rsidP="00E5520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При попадании на кожу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A2154" w:rsidRPr="00E55200" w:rsidRDefault="00EA2154" w:rsidP="00E5520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При попадании</w:t>
            </w:r>
            <w:r w:rsidRPr="00E55200">
              <w:rPr>
                <w:rFonts w:ascii="Times New Roman" w:hAnsi="Times New Roman"/>
                <w:sz w:val="16"/>
                <w:szCs w:val="16"/>
              </w:rPr>
              <w:br/>
              <w:t>в глаза</w:t>
            </w:r>
          </w:p>
        </w:tc>
        <w:tc>
          <w:tcPr>
            <w:tcW w:w="1237" w:type="dxa"/>
            <w:shd w:val="clear" w:color="auto" w:fill="auto"/>
          </w:tcPr>
          <w:p w:rsidR="00EA2154" w:rsidRPr="00E55200" w:rsidRDefault="00EA2154" w:rsidP="00E5520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При заглатывании</w:t>
            </w:r>
          </w:p>
        </w:tc>
      </w:tr>
      <w:tr w:rsidR="00EA2154" w:rsidRPr="009C4357" w:rsidTr="00E55200">
        <w:tc>
          <w:tcPr>
            <w:tcW w:w="1342" w:type="dxa"/>
            <w:shd w:val="clear" w:color="auto" w:fill="auto"/>
          </w:tcPr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Оказывает раздражающее действие.</w:t>
            </w:r>
          </w:p>
          <w:p w:rsidR="00E55200" w:rsidRPr="00E55200" w:rsidRDefault="00E55200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10" w:type="dxa"/>
            <w:shd w:val="clear" w:color="auto" w:fill="auto"/>
          </w:tcPr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Не вызывает раздражения.</w:t>
            </w:r>
          </w:p>
          <w:p w:rsidR="00E55200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Промыть водой.</w:t>
            </w:r>
          </w:p>
        </w:tc>
        <w:tc>
          <w:tcPr>
            <w:tcW w:w="1253" w:type="dxa"/>
            <w:shd w:val="clear" w:color="auto" w:fill="auto"/>
          </w:tcPr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Оказывает раздражающее действие.</w:t>
            </w:r>
          </w:p>
          <w:p w:rsidR="00E55200" w:rsidRPr="00E55200" w:rsidRDefault="00E55200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237" w:type="dxa"/>
            <w:shd w:val="clear" w:color="auto" w:fill="auto"/>
          </w:tcPr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200">
              <w:rPr>
                <w:rFonts w:ascii="Times New Roman" w:hAnsi="Times New Roman"/>
                <w:sz w:val="16"/>
                <w:szCs w:val="16"/>
              </w:rPr>
              <w:t>Токсичен</w:t>
            </w:r>
            <w:proofErr w:type="gramEnd"/>
            <w:r w:rsidRPr="00E55200">
              <w:rPr>
                <w:rFonts w:ascii="Times New Roman" w:hAnsi="Times New Roman"/>
                <w:sz w:val="16"/>
                <w:szCs w:val="16"/>
              </w:rPr>
              <w:t xml:space="preserve"> в больших количествах.</w:t>
            </w:r>
          </w:p>
          <w:p w:rsidR="00EA2154" w:rsidRPr="00E55200" w:rsidRDefault="00EA2154" w:rsidP="00E55200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E55200">
              <w:rPr>
                <w:rFonts w:ascii="Times New Roman" w:hAnsi="Times New Roman"/>
                <w:sz w:val="16"/>
                <w:szCs w:val="16"/>
              </w:rPr>
              <w:br/>
              <w:t>Промыть желудок водой, обратиться к врачу.</w:t>
            </w:r>
          </w:p>
        </w:tc>
      </w:tr>
    </w:tbl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5200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E55200">
        <w:rPr>
          <w:rFonts w:ascii="Times New Roman" w:hAnsi="Times New Roman"/>
          <w:iCs/>
          <w:sz w:val="18"/>
          <w:szCs w:val="18"/>
        </w:rPr>
        <w:t>от +18°C до +25°C</w:t>
      </w:r>
      <w:r w:rsidR="00F37593">
        <w:rPr>
          <w:rFonts w:ascii="Times New Roman" w:hAnsi="Times New Roman"/>
          <w:iCs/>
          <w:sz w:val="18"/>
          <w:szCs w:val="18"/>
        </w:rPr>
        <w:t xml:space="preserve"> </w:t>
      </w:r>
      <w:r w:rsidRPr="00E55200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5200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5200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 xml:space="preserve">Гарантийные обязательства АО «ДИАКОН-ДС» распространяются с даты изготовления и на период срока </w:t>
      </w:r>
      <w:r w:rsidRPr="00E55200">
        <w:rPr>
          <w:rFonts w:ascii="Times New Roman" w:hAnsi="Times New Roman"/>
          <w:sz w:val="18"/>
          <w:szCs w:val="18"/>
        </w:rPr>
        <w:lastRenderedPageBreak/>
        <w:t>годности медицинского изделия, при условии надлежащего транспортирования, хранения и эксплуатации.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5200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E55200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E55200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E55200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E55200">
        <w:rPr>
          <w:rFonts w:ascii="Times New Roman" w:hAnsi="Times New Roman"/>
          <w:b/>
          <w:sz w:val="18"/>
          <w:szCs w:val="18"/>
        </w:rPr>
        <w:t xml:space="preserve"> СД (</w:t>
      </w:r>
      <w:proofErr w:type="spellStart"/>
      <w:r w:rsidRPr="00E55200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E55200">
        <w:rPr>
          <w:rFonts w:ascii="Times New Roman" w:hAnsi="Times New Roman"/>
          <w:b/>
          <w:sz w:val="18"/>
          <w:szCs w:val="18"/>
        </w:rPr>
        <w:t xml:space="preserve"> CD)</w:t>
      </w:r>
      <w:r w:rsidRPr="00E55200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</w:t>
      </w:r>
      <w:proofErr w:type="gramStart"/>
      <w:r w:rsidRPr="00E55200">
        <w:rPr>
          <w:rFonts w:ascii="Times New Roman" w:hAnsi="Times New Roman"/>
          <w:sz w:val="18"/>
          <w:szCs w:val="18"/>
        </w:rPr>
        <w:t>Р</w:t>
      </w:r>
      <w:proofErr w:type="gramEnd"/>
      <w:r w:rsidRPr="00E55200">
        <w:rPr>
          <w:rFonts w:ascii="Times New Roman" w:hAnsi="Times New Roman"/>
          <w:sz w:val="18"/>
          <w:szCs w:val="18"/>
        </w:rPr>
        <w:t xml:space="preserve"> 52905-2007 «Лаборатории медицинские. Требования безопасности».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E55200">
        <w:rPr>
          <w:rFonts w:ascii="Times New Roman" w:hAnsi="Times New Roman"/>
          <w:sz w:val="18"/>
          <w:szCs w:val="18"/>
        </w:rPr>
        <w:t>СанПин</w:t>
      </w:r>
      <w:proofErr w:type="spellEnd"/>
      <w:r w:rsidRPr="00E55200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EA2154" w:rsidRPr="00E55200" w:rsidRDefault="00EA2154" w:rsidP="00E5520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5200">
        <w:rPr>
          <w:rFonts w:ascii="Times New Roman" w:hAnsi="Times New Roman"/>
          <w:sz w:val="18"/>
          <w:szCs w:val="18"/>
        </w:rPr>
        <w:t xml:space="preserve">По вопросам, касающимся качества </w:t>
      </w:r>
      <w:proofErr w:type="spellStart"/>
      <w:r w:rsidRPr="00E55200">
        <w:rPr>
          <w:rFonts w:ascii="Times New Roman" w:hAnsi="Times New Roman"/>
          <w:sz w:val="18"/>
          <w:szCs w:val="18"/>
        </w:rPr>
        <w:t>Лизирующего</w:t>
      </w:r>
      <w:proofErr w:type="spellEnd"/>
      <w:r w:rsidRPr="00E55200">
        <w:rPr>
          <w:rFonts w:ascii="Times New Roman" w:hAnsi="Times New Roman"/>
          <w:sz w:val="18"/>
          <w:szCs w:val="18"/>
        </w:rPr>
        <w:t xml:space="preserve"> реагента</w:t>
      </w:r>
      <w:r w:rsidR="00E552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5200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E55200">
        <w:rPr>
          <w:rFonts w:ascii="Times New Roman" w:hAnsi="Times New Roman"/>
          <w:b/>
          <w:sz w:val="18"/>
          <w:szCs w:val="18"/>
        </w:rPr>
        <w:t xml:space="preserve"> СД (</w:t>
      </w:r>
      <w:proofErr w:type="spellStart"/>
      <w:r w:rsidRPr="00E55200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E55200">
        <w:rPr>
          <w:rFonts w:ascii="Times New Roman" w:hAnsi="Times New Roman"/>
          <w:b/>
          <w:sz w:val="18"/>
          <w:szCs w:val="18"/>
        </w:rPr>
        <w:t xml:space="preserve"> CD)</w:t>
      </w:r>
      <w:r w:rsidRPr="00E55200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E55200">
          <w:rPr>
            <w:rFonts w:ascii="Times New Roman" w:hAnsi="Times New Roman"/>
            <w:sz w:val="18"/>
            <w:szCs w:val="18"/>
          </w:rPr>
          <w:t>142290, г</w:t>
        </w:r>
      </w:smartTag>
      <w:r w:rsidRPr="00E55200">
        <w:rPr>
          <w:rFonts w:ascii="Times New Roman" w:hAnsi="Times New Roman"/>
          <w:sz w:val="18"/>
          <w:szCs w:val="18"/>
        </w:rPr>
        <w:t xml:space="preserve">. Пущино,  </w:t>
      </w:r>
      <w:proofErr w:type="gramStart"/>
      <w:r w:rsidRPr="00E55200">
        <w:rPr>
          <w:rFonts w:ascii="Times New Roman" w:hAnsi="Times New Roman"/>
          <w:sz w:val="18"/>
          <w:szCs w:val="18"/>
        </w:rPr>
        <w:t>Московской</w:t>
      </w:r>
      <w:proofErr w:type="gramEnd"/>
      <w:r w:rsidRPr="00E55200">
        <w:rPr>
          <w:rFonts w:ascii="Times New Roman" w:hAnsi="Times New Roman"/>
          <w:sz w:val="18"/>
          <w:szCs w:val="18"/>
        </w:rPr>
        <w:t xml:space="preserve">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54" w:rsidRDefault="00EA2154" w:rsidP="009D53C8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54" w:rsidRDefault="00664B7C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EA2154" w:rsidRPr="006129E6" w:rsidRDefault="00664B7C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EA2154">
                  <w:instrText>HYPERLINK "http://www.diakon-ds.ru"</w:instrText>
                </w:r>
                <w:r>
                  <w:fldChar w:fldCharType="separate"/>
                </w:r>
                <w:r w:rsidR="00EA2154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EA2154" w:rsidRPr="000F7900" w:rsidRDefault="00EA2154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EA2154" w:rsidRPr="000F7900" w:rsidRDefault="00664B7C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="00EA2154"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EA2154" w:rsidRPr="000F7900" w:rsidRDefault="00EA2154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EA2154" w:rsidRDefault="00EA2154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EA2154" w:rsidRPr="008D325C" w:rsidRDefault="00EA2154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EA2154" w:rsidRPr="008D325C" w:rsidRDefault="00EA2154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EA2154" w:rsidRDefault="00664B7C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54" w:rsidRDefault="00EA2154" w:rsidP="009D53C8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EA2154" w:rsidTr="00400AAE">
      <w:trPr>
        <w:trHeight w:val="284"/>
      </w:trPr>
      <w:tc>
        <w:tcPr>
          <w:tcW w:w="2518" w:type="dxa"/>
          <w:vMerge w:val="restart"/>
        </w:tcPr>
        <w:p w:rsidR="00EA2154" w:rsidRPr="00400AAE" w:rsidRDefault="00EA2154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EA2154" w:rsidRPr="00953310" w:rsidRDefault="00EA2154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EA2154" w:rsidRPr="00EA2154" w:rsidRDefault="00EA2154" w:rsidP="00E57B16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Лизирующий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Аутолайз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СД</w:t>
          </w:r>
        </w:p>
      </w:tc>
      <w:tc>
        <w:tcPr>
          <w:tcW w:w="1544" w:type="dxa"/>
          <w:vMerge w:val="restart"/>
        </w:tcPr>
        <w:p w:rsidR="00EA2154" w:rsidRDefault="00EA2154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2154" w:rsidTr="00400AAE">
      <w:trPr>
        <w:trHeight w:val="262"/>
      </w:trPr>
      <w:tc>
        <w:tcPr>
          <w:tcW w:w="2518" w:type="dxa"/>
          <w:vMerge/>
        </w:tcPr>
        <w:p w:rsidR="00EA2154" w:rsidRDefault="00EA2154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EA2154" w:rsidRPr="001B5955" w:rsidRDefault="00EA2154" w:rsidP="00F3493A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Autolyse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 xml:space="preserve"> CD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EA2154" w:rsidRDefault="00EA2154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EA2154" w:rsidTr="002A3071">
      <w:tc>
        <w:tcPr>
          <w:tcW w:w="2518" w:type="dxa"/>
          <w:vMerge/>
        </w:tcPr>
        <w:p w:rsidR="00EA2154" w:rsidRDefault="00EA2154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EA2154" w:rsidRPr="00430B5A" w:rsidRDefault="00EA2154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EA2154" w:rsidRPr="00430B5A" w:rsidRDefault="00EA2154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EA2154" w:rsidRDefault="00EA2154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EA2154" w:rsidRPr="00EA504C" w:rsidRDefault="00EA2154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64B7C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37593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8F84-FDAC-4BF7-B5F6-65C36FA7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m.korobejnikova</cp:lastModifiedBy>
  <cp:revision>3</cp:revision>
  <cp:lastPrinted>2017-09-28T06:54:00Z</cp:lastPrinted>
  <dcterms:created xsi:type="dcterms:W3CDTF">2017-09-28T06:54:00Z</dcterms:created>
  <dcterms:modified xsi:type="dcterms:W3CDTF">2017-09-28T08:30:00Z</dcterms:modified>
</cp:coreProperties>
</file>