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E15F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6E15F4">
        <w:rPr>
          <w:rFonts w:ascii="Times New Roman" w:hAnsi="Times New Roman"/>
          <w:sz w:val="18"/>
          <w:szCs w:val="18"/>
        </w:rPr>
        <w:t>Аутолайз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ПЕНТ (</w:t>
      </w:r>
      <w:proofErr w:type="spellStart"/>
      <w:r w:rsidRPr="006E15F4">
        <w:rPr>
          <w:rFonts w:ascii="Times New Roman" w:hAnsi="Times New Roman"/>
          <w:sz w:val="18"/>
          <w:szCs w:val="18"/>
        </w:rPr>
        <w:t>Autolyse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  <w:lang w:val="en-US"/>
        </w:rPr>
        <w:t>PENT</w:t>
      </w:r>
      <w:r w:rsidRPr="006E15F4">
        <w:rPr>
          <w:rFonts w:ascii="Times New Roman" w:hAnsi="Times New Roman"/>
          <w:sz w:val="18"/>
          <w:szCs w:val="18"/>
        </w:rPr>
        <w:t xml:space="preserve">) предназначен для </w:t>
      </w:r>
      <w:proofErr w:type="spellStart"/>
      <w:r w:rsidRPr="006E15F4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эритроцитов и преобразования гемоглобина в автоматических гематологических анализаторах </w:t>
      </w:r>
      <w:proofErr w:type="spellStart"/>
      <w:r w:rsidRPr="006E15F4">
        <w:rPr>
          <w:rFonts w:ascii="Times New Roman" w:hAnsi="Times New Roman"/>
          <w:sz w:val="18"/>
          <w:szCs w:val="18"/>
        </w:rPr>
        <w:t>c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последующей количественной оценкой форменных элементов крови методом проточной </w:t>
      </w:r>
      <w:proofErr w:type="spellStart"/>
      <w:r w:rsidRPr="006E15F4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в клинико-диагностических лабораториях.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E15F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6E15F4">
        <w:rPr>
          <w:rFonts w:ascii="Times New Roman" w:hAnsi="Times New Roman"/>
          <w:sz w:val="18"/>
          <w:szCs w:val="18"/>
        </w:rPr>
        <w:t>Аутолайз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ПЕНТ (</w:t>
      </w:r>
      <w:proofErr w:type="spellStart"/>
      <w:r w:rsidRPr="006E15F4">
        <w:rPr>
          <w:rFonts w:ascii="Times New Roman" w:hAnsi="Times New Roman"/>
          <w:sz w:val="18"/>
          <w:szCs w:val="18"/>
        </w:rPr>
        <w:t>Autolyse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  <w:lang w:val="en-US"/>
        </w:rPr>
        <w:t>PENT</w:t>
      </w:r>
      <w:r w:rsidRPr="006E15F4">
        <w:rPr>
          <w:rFonts w:ascii="Times New Roman" w:hAnsi="Times New Roman"/>
          <w:sz w:val="18"/>
          <w:szCs w:val="18"/>
        </w:rPr>
        <w:t>) должен использоваться квалифицированным персоналом в области клинической лабораторной диагностики.</w:t>
      </w:r>
    </w:p>
    <w:p w:rsidR="00953310" w:rsidRPr="006E15F4" w:rsidRDefault="006E15F4" w:rsidP="006E15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6E15F4">
        <w:rPr>
          <w:rFonts w:ascii="Times New Roman" w:hAnsi="Times New Roman"/>
          <w:b/>
          <w:sz w:val="18"/>
          <w:szCs w:val="18"/>
        </w:rPr>
        <w:t>Лизирующий</w:t>
      </w:r>
      <w:proofErr w:type="spellEnd"/>
      <w:r w:rsidRPr="006E15F4">
        <w:rPr>
          <w:rFonts w:ascii="Times New Roman" w:hAnsi="Times New Roman"/>
          <w:b/>
          <w:sz w:val="18"/>
          <w:szCs w:val="18"/>
        </w:rPr>
        <w:t xml:space="preserve"> реагент </w:t>
      </w:r>
      <w:proofErr w:type="spellStart"/>
      <w:r w:rsidRPr="006E15F4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6E15F4">
        <w:rPr>
          <w:rFonts w:ascii="Times New Roman" w:hAnsi="Times New Roman"/>
          <w:b/>
          <w:sz w:val="18"/>
          <w:szCs w:val="18"/>
        </w:rPr>
        <w:t>ПЕНТ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15F4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6E15F4">
        <w:rPr>
          <w:rFonts w:ascii="Times New Roman" w:hAnsi="Times New Roman"/>
          <w:b/>
          <w:sz w:val="18"/>
          <w:szCs w:val="18"/>
        </w:rPr>
        <w:t>Autolyse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6E15F4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6E15F4">
        <w:rPr>
          <w:rFonts w:ascii="Times New Roman" w:hAnsi="Times New Roman"/>
          <w:b/>
          <w:sz w:val="18"/>
          <w:szCs w:val="18"/>
        </w:rPr>
        <w:t>)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15F4">
        <w:rPr>
          <w:rFonts w:ascii="Times New Roman" w:hAnsi="Times New Roman"/>
          <w:b/>
          <w:sz w:val="18"/>
          <w:szCs w:val="18"/>
        </w:rPr>
        <w:t>выпускается в жидком виде во флаконах</w:t>
      </w:r>
      <w:r w:rsidR="00953310" w:rsidRPr="006E15F4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EA2154" w:rsidP="006E15F4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9F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6E15F4">
              <w:rPr>
                <w:rFonts w:ascii="Times New Roman" w:hAnsi="Times New Roman"/>
                <w:sz w:val="18"/>
                <w:szCs w:val="18"/>
              </w:rPr>
              <w:t>8</w:t>
            </w:r>
            <w:r w:rsidR="00A609F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E57B16" w:rsidRPr="00953310" w:rsidRDefault="006E15F4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6E15F4" w:rsidRPr="006E15F4" w:rsidRDefault="006E15F4" w:rsidP="006E15F4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</w:rPr>
      </w:pPr>
      <w:r w:rsidRPr="006E15F4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6E15F4">
        <w:rPr>
          <w:rFonts w:ascii="Times New Roman" w:hAnsi="Times New Roman"/>
          <w:sz w:val="18"/>
          <w:szCs w:val="18"/>
        </w:rPr>
        <w:t xml:space="preserve">анализаторов серии  </w:t>
      </w:r>
      <w:r w:rsidRPr="006E15F4">
        <w:rPr>
          <w:rFonts w:ascii="Times New Roman" w:hAnsi="Times New Roman"/>
          <w:b/>
          <w:sz w:val="18"/>
          <w:szCs w:val="18"/>
        </w:rPr>
        <w:t>ABX PENTRA</w:t>
      </w:r>
      <w:r w:rsidRPr="006E15F4">
        <w:rPr>
          <w:rFonts w:ascii="Times New Roman" w:hAnsi="Times New Roman"/>
          <w:sz w:val="18"/>
          <w:szCs w:val="18"/>
        </w:rPr>
        <w:t xml:space="preserve"> с возможностью дифференцировки лейкоцитов на 5 </w:t>
      </w:r>
      <w:proofErr w:type="spellStart"/>
      <w:r w:rsidRPr="006E15F4">
        <w:rPr>
          <w:rFonts w:ascii="Times New Roman" w:hAnsi="Times New Roman"/>
          <w:sz w:val="18"/>
          <w:szCs w:val="18"/>
        </w:rPr>
        <w:t>субпопуляций</w:t>
      </w:r>
      <w:proofErr w:type="spellEnd"/>
      <w:r w:rsidRPr="006E15F4">
        <w:rPr>
          <w:rFonts w:ascii="Times New Roman" w:hAnsi="Times New Roman"/>
          <w:sz w:val="18"/>
          <w:szCs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ПРИНЦИП МЕТОДА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E15F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реагент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</w:rPr>
        <w:t xml:space="preserve">предназначен для </w:t>
      </w:r>
      <w:proofErr w:type="spellStart"/>
      <w:r w:rsidRPr="006E15F4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эритроцитов крови и преобразования гемоглобина в измеряемый комплекс в автоматических гематологических анализаторах. При добавлении к суспензии разведенной крови </w:t>
      </w:r>
      <w:proofErr w:type="spellStart"/>
      <w:r w:rsidRPr="006E15F4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раствор быстро разрушает цитоплазматическую мембрану эритроцитов и вызывает сжатие ее в плотные частицы с малым объемом, которые не мешают подсчету белых клеток крови. Под действием поверхностно-активных соединений </w:t>
      </w:r>
      <w:proofErr w:type="spellStart"/>
      <w:r w:rsidRPr="006E15F4">
        <w:rPr>
          <w:rFonts w:ascii="Times New Roman" w:hAnsi="Times New Roman"/>
          <w:sz w:val="18"/>
          <w:szCs w:val="18"/>
        </w:rPr>
        <w:t>гемолитика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различные формы лейкоцитов претерпевают изменения размеров в разной степени, что создает основу  для разделения лейкоцитов на </w:t>
      </w:r>
      <w:proofErr w:type="spellStart"/>
      <w:r w:rsidRPr="006E15F4">
        <w:rPr>
          <w:rFonts w:ascii="Times New Roman" w:hAnsi="Times New Roman"/>
          <w:sz w:val="18"/>
          <w:szCs w:val="18"/>
        </w:rPr>
        <w:t>субпопуляции</w:t>
      </w:r>
      <w:proofErr w:type="spellEnd"/>
      <w:r w:rsidRPr="006E15F4">
        <w:rPr>
          <w:rFonts w:ascii="Times New Roman" w:hAnsi="Times New Roman"/>
          <w:sz w:val="18"/>
          <w:szCs w:val="18"/>
        </w:rPr>
        <w:t>.</w:t>
      </w:r>
    </w:p>
    <w:p w:rsidR="002A3071" w:rsidRPr="00470254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2"/>
        <w:gridCol w:w="2957"/>
        <w:gridCol w:w="992"/>
      </w:tblGrid>
      <w:tr w:rsidR="00470254" w:rsidTr="00A83760">
        <w:tc>
          <w:tcPr>
            <w:tcW w:w="1262" w:type="dxa"/>
            <w:vMerge w:val="restart"/>
          </w:tcPr>
          <w:p w:rsidR="00470254" w:rsidRPr="00470254" w:rsidRDefault="00EA2154" w:rsidP="006E15F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Лизирующий</w:t>
            </w:r>
            <w:proofErr w:type="spellEnd"/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реагент</w:t>
            </w:r>
            <w:r w:rsidR="00470254"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Аутолайз</w:t>
            </w:r>
            <w:proofErr w:type="spellEnd"/>
            <w:r w:rsidR="00E57B16" w:rsidRPr="00E57B1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6E15F4">
              <w:rPr>
                <w:rFonts w:ascii="Times New Roman" w:hAnsi="Times New Roman"/>
                <w:b/>
                <w:i/>
                <w:sz w:val="18"/>
                <w:szCs w:val="18"/>
              </w:rPr>
              <w:t>ПЕНТ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957" w:type="dxa"/>
          </w:tcPr>
          <w:p w:rsidR="00470254" w:rsidRPr="00D531F4" w:rsidRDefault="00EA21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31F4">
              <w:rPr>
                <w:rFonts w:ascii="Times New Roman" w:hAnsi="Times New Roman"/>
                <w:sz w:val="18"/>
                <w:szCs w:val="18"/>
              </w:rPr>
              <w:t>Додецилтриметиламмония</w:t>
            </w:r>
            <w:proofErr w:type="spellEnd"/>
            <w:r w:rsidRPr="00D531F4">
              <w:rPr>
                <w:rFonts w:ascii="Times New Roman" w:hAnsi="Times New Roman"/>
                <w:sz w:val="18"/>
                <w:szCs w:val="18"/>
              </w:rPr>
              <w:t xml:space="preserve"> хлорид</w:t>
            </w:r>
          </w:p>
        </w:tc>
        <w:tc>
          <w:tcPr>
            <w:tcW w:w="992" w:type="dxa"/>
          </w:tcPr>
          <w:p w:rsidR="00470254" w:rsidRPr="00D531F4" w:rsidRDefault="00470254" w:rsidP="00A8376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A83760">
              <w:rPr>
                <w:rFonts w:ascii="Times New Roman" w:hAnsi="Times New Roman"/>
                <w:sz w:val="18"/>
                <w:szCs w:val="18"/>
              </w:rPr>
              <w:t>1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470254" w:rsidTr="00A83760">
        <w:tc>
          <w:tcPr>
            <w:tcW w:w="1262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470254" w:rsidRPr="00D531F4" w:rsidRDefault="00EA21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Калия цианид</w:t>
            </w:r>
          </w:p>
        </w:tc>
        <w:tc>
          <w:tcPr>
            <w:tcW w:w="992" w:type="dxa"/>
          </w:tcPr>
          <w:p w:rsidR="00470254" w:rsidRPr="00D531F4" w:rsidRDefault="00470254" w:rsidP="00A83760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="00EA2154" w:rsidRPr="00D531F4">
              <w:rPr>
                <w:rFonts w:ascii="Times New Roman" w:hAnsi="Times New Roman"/>
                <w:sz w:val="18"/>
                <w:szCs w:val="18"/>
              </w:rPr>
              <w:t>0,</w:t>
            </w:r>
            <w:r w:rsidR="00A83760">
              <w:rPr>
                <w:rFonts w:ascii="Times New Roman" w:hAnsi="Times New Roman"/>
                <w:sz w:val="18"/>
                <w:szCs w:val="18"/>
              </w:rPr>
              <w:t>03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D531F4" w:rsidTr="00A83760">
        <w:tc>
          <w:tcPr>
            <w:tcW w:w="1262" w:type="dxa"/>
            <w:vMerge/>
          </w:tcPr>
          <w:p w:rsidR="00D531F4" w:rsidRDefault="00D531F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 xml:space="preserve">Сульфат натрия                                            </w:t>
            </w:r>
          </w:p>
        </w:tc>
        <w:tc>
          <w:tcPr>
            <w:tcW w:w="992" w:type="dxa"/>
          </w:tcPr>
          <w:p w:rsidR="00D531F4" w:rsidRPr="00D531F4" w:rsidRDefault="00D531F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&lt; 2 %</w:t>
            </w:r>
          </w:p>
        </w:tc>
      </w:tr>
      <w:tr w:rsidR="00470254" w:rsidTr="00A83760">
        <w:tc>
          <w:tcPr>
            <w:tcW w:w="1262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</w:tcPr>
          <w:p w:rsidR="00470254" w:rsidRPr="00D531F4" w:rsidRDefault="00470254" w:rsidP="00D531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31F4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D531F4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992" w:type="dxa"/>
          </w:tcPr>
          <w:p w:rsidR="00470254" w:rsidRPr="00D531F4" w:rsidRDefault="00D531F4" w:rsidP="006E15F4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531F4">
              <w:rPr>
                <w:rFonts w:ascii="Times New Roman" w:hAnsi="Times New Roman"/>
                <w:sz w:val="18"/>
                <w:szCs w:val="18"/>
              </w:rPr>
              <w:t>≥ 9</w:t>
            </w:r>
            <w:r w:rsidR="006E15F4">
              <w:rPr>
                <w:rFonts w:ascii="Times New Roman" w:hAnsi="Times New Roman"/>
                <w:sz w:val="18"/>
                <w:szCs w:val="18"/>
              </w:rPr>
              <w:t>5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>,9</w:t>
            </w:r>
            <w:r w:rsidR="00A83760">
              <w:rPr>
                <w:rFonts w:ascii="Times New Roman" w:hAnsi="Times New Roman"/>
                <w:sz w:val="18"/>
                <w:szCs w:val="18"/>
              </w:rPr>
              <w:t>7</w:t>
            </w:r>
            <w:r w:rsidRPr="00D531F4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</w:tbl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6E15F4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E15F4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6E15F4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. Реагент имеет фиксированные значения </w:t>
      </w:r>
      <w:proofErr w:type="spellStart"/>
      <w:r w:rsidRPr="006E15F4">
        <w:rPr>
          <w:rFonts w:ascii="Times New Roman" w:hAnsi="Times New Roman"/>
          <w:sz w:val="18"/>
          <w:szCs w:val="18"/>
        </w:rPr>
        <w:t>рН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6E15F4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6E15F4">
        <w:rPr>
          <w:rFonts w:ascii="Times New Roman" w:hAnsi="Times New Roman"/>
          <w:sz w:val="18"/>
          <w:szCs w:val="18"/>
        </w:rPr>
        <w:t>.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6E15F4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E15F4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6E15F4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E15F4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6E15F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6E15F4">
        <w:rPr>
          <w:rFonts w:ascii="Times New Roman" w:hAnsi="Times New Roman"/>
          <w:sz w:val="18"/>
          <w:szCs w:val="18"/>
        </w:rPr>
        <w:t>Абнормал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E15F4">
        <w:rPr>
          <w:rFonts w:ascii="Times New Roman" w:hAnsi="Times New Roman"/>
          <w:sz w:val="18"/>
          <w:szCs w:val="18"/>
        </w:rPr>
        <w:t>Лоу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</w:rPr>
        <w:t>(</w:t>
      </w:r>
      <w:proofErr w:type="spellStart"/>
      <w:r w:rsidRPr="006E15F4">
        <w:rPr>
          <w:rFonts w:ascii="Times New Roman" w:hAnsi="Times New Roman"/>
          <w:sz w:val="18"/>
          <w:szCs w:val="18"/>
        </w:rPr>
        <w:t>Kontrollblod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6E15F4">
        <w:rPr>
          <w:rFonts w:ascii="Times New Roman" w:hAnsi="Times New Roman"/>
          <w:sz w:val="18"/>
          <w:szCs w:val="18"/>
        </w:rPr>
        <w:t>Abnormal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E15F4">
        <w:rPr>
          <w:rFonts w:ascii="Times New Roman" w:hAnsi="Times New Roman"/>
          <w:sz w:val="18"/>
          <w:szCs w:val="18"/>
        </w:rPr>
        <w:t>Low</w:t>
      </w:r>
      <w:proofErr w:type="spellEnd"/>
      <w:r w:rsidRPr="006E15F4">
        <w:rPr>
          <w:rFonts w:ascii="Times New Roman" w:hAnsi="Times New Roman"/>
          <w:sz w:val="18"/>
          <w:szCs w:val="18"/>
        </w:rPr>
        <w:t>)»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</w:rPr>
        <w:t>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6E15F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6E15F4">
        <w:rPr>
          <w:rFonts w:ascii="Times New Roman" w:hAnsi="Times New Roman"/>
          <w:sz w:val="18"/>
          <w:szCs w:val="18"/>
        </w:rPr>
        <w:t>Нормал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6E15F4">
        <w:rPr>
          <w:rFonts w:ascii="Times New Roman" w:hAnsi="Times New Roman"/>
          <w:sz w:val="18"/>
          <w:szCs w:val="18"/>
        </w:rPr>
        <w:t>Kontrollblod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6E15F4">
        <w:rPr>
          <w:rFonts w:ascii="Times New Roman" w:hAnsi="Times New Roman"/>
          <w:sz w:val="18"/>
          <w:szCs w:val="18"/>
        </w:rPr>
        <w:t>Normal</w:t>
      </w:r>
      <w:proofErr w:type="spellEnd"/>
      <w:r w:rsidRPr="006E15F4">
        <w:rPr>
          <w:rFonts w:ascii="Times New Roman" w:hAnsi="Times New Roman"/>
          <w:sz w:val="18"/>
          <w:szCs w:val="18"/>
        </w:rPr>
        <w:t>) 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патологический высокий </w:t>
      </w:r>
      <w:proofErr w:type="spellStart"/>
      <w:r w:rsidRPr="006E15F4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6E15F4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Хай (</w:t>
      </w:r>
      <w:proofErr w:type="spellStart"/>
      <w:r w:rsidRPr="006E15F4">
        <w:rPr>
          <w:rFonts w:ascii="Times New Roman" w:hAnsi="Times New Roman"/>
          <w:sz w:val="18"/>
          <w:szCs w:val="18"/>
        </w:rPr>
        <w:t>Kontrollblod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6E15F4">
        <w:rPr>
          <w:rFonts w:ascii="Times New Roman" w:hAnsi="Times New Roman"/>
          <w:sz w:val="18"/>
          <w:szCs w:val="18"/>
        </w:rPr>
        <w:t>Abnormal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E15F4">
        <w:rPr>
          <w:rFonts w:ascii="Times New Roman" w:hAnsi="Times New Roman"/>
          <w:sz w:val="18"/>
          <w:szCs w:val="18"/>
        </w:rPr>
        <w:t>High</w:t>
      </w:r>
      <w:proofErr w:type="spellEnd"/>
      <w:r w:rsidRPr="006E15F4">
        <w:rPr>
          <w:rFonts w:ascii="Times New Roman" w:hAnsi="Times New Roman"/>
          <w:sz w:val="18"/>
          <w:szCs w:val="18"/>
        </w:rPr>
        <w:t>) (кат.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</w:rPr>
        <w:t xml:space="preserve">№ KB163 ST) производства </w:t>
      </w:r>
      <w:r w:rsidRPr="006E15F4">
        <w:rPr>
          <w:rFonts w:ascii="Times New Roman" w:hAnsi="Times New Roman"/>
          <w:sz w:val="18"/>
          <w:szCs w:val="18"/>
          <w:lang w:val="en-US"/>
        </w:rPr>
        <w:t>LABEX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E15F4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  <w:lang w:val="en-US"/>
        </w:rPr>
        <w:t>AB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15F4">
        <w:rPr>
          <w:rFonts w:ascii="Times New Roman" w:hAnsi="Times New Roman"/>
          <w:sz w:val="18"/>
          <w:szCs w:val="18"/>
        </w:rPr>
        <w:t>(Швеция).</w:t>
      </w:r>
    </w:p>
    <w:p w:rsid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6E15F4">
        <w:rPr>
          <w:rFonts w:ascii="Times New Roman" w:hAnsi="Times New Roman"/>
          <w:b/>
          <w:bCs/>
          <w:sz w:val="18"/>
          <w:szCs w:val="18"/>
        </w:rPr>
        <w:lastRenderedPageBreak/>
        <w:t>ОГРАНИЧЕНИЯ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E15F4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6E15F4">
        <w:rPr>
          <w:rFonts w:ascii="Times New Roman" w:hAnsi="Times New Roman"/>
          <w:i/>
          <w:sz w:val="18"/>
          <w:szCs w:val="18"/>
        </w:rPr>
        <w:t>in</w:t>
      </w:r>
      <w:proofErr w:type="spellEnd"/>
      <w:r w:rsidR="00DD5369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6E15F4">
        <w:rPr>
          <w:rFonts w:ascii="Times New Roman" w:hAnsi="Times New Roman"/>
          <w:i/>
          <w:sz w:val="18"/>
          <w:szCs w:val="18"/>
        </w:rPr>
        <w:t>vitro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E15F4">
        <w:rPr>
          <w:rFonts w:ascii="Times New Roman" w:hAnsi="Times New Roman"/>
          <w:sz w:val="18"/>
          <w:szCs w:val="18"/>
        </w:rPr>
        <w:t>Не сливать в канализацию, утилизировать согласно действующим нормативным документам.</w:t>
      </w:r>
    </w:p>
    <w:p w:rsidR="00DD5369" w:rsidRPr="006E15F4" w:rsidRDefault="00DD5369" w:rsidP="006E15F4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6E15F4" w:rsidRPr="00DD5369" w:rsidRDefault="006E15F4" w:rsidP="006E15F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D5369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E15F4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6E15F4" w:rsidRPr="006E15F4" w:rsidRDefault="006E15F4" w:rsidP="006E15F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E15F4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r w:rsidRPr="006E15F4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r w:rsidRPr="006E15F4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6E15F4">
          <w:rPr>
            <w:rFonts w:ascii="Times New Roman" w:hAnsi="Times New Roman"/>
            <w:sz w:val="18"/>
            <w:szCs w:val="18"/>
          </w:rPr>
          <w:t>1981 г</w:t>
        </w:r>
      </w:smartTag>
      <w:r w:rsidRPr="006E15F4">
        <w:rPr>
          <w:rFonts w:ascii="Times New Roman" w:hAnsi="Times New Roman"/>
          <w:sz w:val="18"/>
          <w:szCs w:val="18"/>
        </w:rPr>
        <w:t>.).</w:t>
      </w:r>
    </w:p>
    <w:p w:rsidR="006E15F4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D5369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DD5369" w:rsidRPr="00DD5369" w:rsidRDefault="00DD5369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DD5369">
        <w:rPr>
          <w:rFonts w:ascii="Times New Roman" w:hAnsi="Times New Roman"/>
          <w:sz w:val="18"/>
          <w:szCs w:val="18"/>
          <w:lang w:eastAsia="ru-RU"/>
        </w:rPr>
        <w:t>Возможное токсическое действие на организм человека и меры первой помощи:</w:t>
      </w:r>
    </w:p>
    <w:tbl>
      <w:tblPr>
        <w:tblStyle w:val="3"/>
        <w:tblW w:w="5103" w:type="dxa"/>
        <w:tblInd w:w="108" w:type="dxa"/>
        <w:tblLayout w:type="fixed"/>
        <w:tblLook w:val="01E0"/>
      </w:tblPr>
      <w:tblGrid>
        <w:gridCol w:w="1342"/>
        <w:gridCol w:w="1352"/>
        <w:gridCol w:w="1257"/>
        <w:gridCol w:w="1152"/>
      </w:tblGrid>
      <w:tr w:rsidR="006E15F4" w:rsidRPr="00974658" w:rsidTr="00DD5369">
        <w:tc>
          <w:tcPr>
            <w:tcW w:w="1342" w:type="dxa"/>
          </w:tcPr>
          <w:p w:rsidR="006E15F4" w:rsidRPr="00DD5369" w:rsidRDefault="006E15F4" w:rsidP="00DD5369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При вдыхании</w:t>
            </w:r>
          </w:p>
        </w:tc>
        <w:tc>
          <w:tcPr>
            <w:tcW w:w="1352" w:type="dxa"/>
            <w:vAlign w:val="center"/>
          </w:tcPr>
          <w:p w:rsidR="006E15F4" w:rsidRPr="00DD5369" w:rsidRDefault="006E15F4" w:rsidP="00DD5369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При попадании на кожу</w:t>
            </w:r>
          </w:p>
        </w:tc>
        <w:tc>
          <w:tcPr>
            <w:tcW w:w="1257" w:type="dxa"/>
            <w:vAlign w:val="center"/>
          </w:tcPr>
          <w:p w:rsidR="006E15F4" w:rsidRPr="00DD5369" w:rsidRDefault="006E15F4" w:rsidP="00DD5369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При попадании</w:t>
            </w:r>
            <w:r w:rsidRPr="00DD5369">
              <w:rPr>
                <w:sz w:val="16"/>
                <w:szCs w:val="16"/>
                <w:lang w:eastAsia="ru-RU"/>
              </w:rPr>
              <w:br/>
              <w:t>в глаза</w:t>
            </w:r>
          </w:p>
        </w:tc>
        <w:tc>
          <w:tcPr>
            <w:tcW w:w="1152" w:type="dxa"/>
          </w:tcPr>
          <w:p w:rsidR="006E15F4" w:rsidRPr="00DD5369" w:rsidRDefault="006E15F4" w:rsidP="00DD5369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При заглатывании</w:t>
            </w:r>
          </w:p>
        </w:tc>
      </w:tr>
      <w:tr w:rsidR="006E15F4" w:rsidRPr="00974658" w:rsidTr="00DD5369">
        <w:tc>
          <w:tcPr>
            <w:tcW w:w="1342" w:type="dxa"/>
          </w:tcPr>
          <w:p w:rsidR="006E15F4" w:rsidRDefault="006E15F4" w:rsidP="00DD5369">
            <w:pPr>
              <w:pStyle w:val="af1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Не оказывает раздражающего  действия.</w:t>
            </w:r>
          </w:p>
          <w:p w:rsidR="00DD5369" w:rsidRPr="00DD5369" w:rsidRDefault="00DD5369" w:rsidP="00DD5369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6E15F4" w:rsidRPr="00DD5369" w:rsidRDefault="006E15F4" w:rsidP="00DD5369">
            <w:pPr>
              <w:pStyle w:val="af1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352" w:type="dxa"/>
          </w:tcPr>
          <w:p w:rsidR="006E15F4" w:rsidRDefault="006E15F4" w:rsidP="00DD5369">
            <w:pPr>
              <w:pStyle w:val="af1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DD5369" w:rsidRPr="00DD5369" w:rsidRDefault="00DD5369" w:rsidP="00DD5369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6E15F4" w:rsidRPr="00DD5369" w:rsidRDefault="006E15F4" w:rsidP="00DD5369">
            <w:pPr>
              <w:pStyle w:val="af1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Промыть водой.</w:t>
            </w:r>
          </w:p>
        </w:tc>
        <w:tc>
          <w:tcPr>
            <w:tcW w:w="1257" w:type="dxa"/>
          </w:tcPr>
          <w:p w:rsidR="006E15F4" w:rsidRDefault="006E15F4" w:rsidP="00DD5369">
            <w:pPr>
              <w:pStyle w:val="af1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DD5369" w:rsidRPr="00DD5369" w:rsidRDefault="00DD5369" w:rsidP="00DD5369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6E15F4" w:rsidRPr="00DD5369" w:rsidRDefault="006E15F4" w:rsidP="00DD5369">
            <w:pPr>
              <w:pStyle w:val="af1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152" w:type="dxa"/>
          </w:tcPr>
          <w:p w:rsidR="006E15F4" w:rsidRPr="00DD5369" w:rsidRDefault="006E15F4" w:rsidP="00DD5369">
            <w:pPr>
              <w:pStyle w:val="af1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t>Токсичен в больших количествах.</w:t>
            </w:r>
          </w:p>
          <w:p w:rsidR="006E15F4" w:rsidRPr="00DD5369" w:rsidRDefault="006E15F4" w:rsidP="00DD5369">
            <w:pPr>
              <w:pStyle w:val="af1"/>
              <w:rPr>
                <w:sz w:val="16"/>
                <w:szCs w:val="16"/>
                <w:lang w:eastAsia="ru-RU"/>
              </w:rPr>
            </w:pPr>
            <w:r w:rsidRPr="00DD5369">
              <w:rPr>
                <w:sz w:val="16"/>
                <w:szCs w:val="16"/>
                <w:lang w:eastAsia="ru-RU"/>
              </w:rPr>
              <w:br/>
              <w:t>Промыть желудок водой, обратиться к врачу.</w:t>
            </w:r>
          </w:p>
        </w:tc>
      </w:tr>
    </w:tbl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D5369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D5369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DD5369">
        <w:rPr>
          <w:rFonts w:ascii="Times New Roman" w:hAnsi="Times New Roman"/>
          <w:iCs/>
          <w:sz w:val="18"/>
          <w:szCs w:val="18"/>
        </w:rPr>
        <w:t>от +18°C до +25°C</w:t>
      </w:r>
      <w:r w:rsidR="0005487E">
        <w:rPr>
          <w:rFonts w:ascii="Times New Roman" w:hAnsi="Times New Roman"/>
          <w:iCs/>
          <w:sz w:val="18"/>
          <w:szCs w:val="18"/>
        </w:rPr>
        <w:t xml:space="preserve"> </w:t>
      </w:r>
      <w:r w:rsidRPr="00DD5369">
        <w:rPr>
          <w:rFonts w:ascii="Times New Roman" w:hAnsi="Times New Roman"/>
          <w:sz w:val="18"/>
          <w:szCs w:val="18"/>
        </w:rPr>
        <w:t>в упаковке предприятия-изготовителя в течение всего срока годности. Замораживание компонентов набора не допускается!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D5369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D5369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D536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D536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D536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D5369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DD5369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DD5369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DD5369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="00DD5369">
        <w:rPr>
          <w:rFonts w:ascii="Times New Roman" w:hAnsi="Times New Roman"/>
          <w:b/>
          <w:sz w:val="18"/>
          <w:szCs w:val="18"/>
        </w:rPr>
        <w:t xml:space="preserve"> </w:t>
      </w:r>
      <w:r w:rsidRPr="00DD5369">
        <w:rPr>
          <w:rFonts w:ascii="Times New Roman" w:hAnsi="Times New Roman"/>
          <w:b/>
          <w:sz w:val="18"/>
          <w:szCs w:val="18"/>
        </w:rPr>
        <w:t>ПЕНТ</w:t>
      </w:r>
      <w:r w:rsidR="00DD5369">
        <w:rPr>
          <w:rFonts w:ascii="Times New Roman" w:hAnsi="Times New Roman"/>
          <w:b/>
          <w:sz w:val="18"/>
          <w:szCs w:val="18"/>
        </w:rPr>
        <w:t xml:space="preserve"> </w:t>
      </w:r>
      <w:r w:rsidRPr="00DD5369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DD5369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="00DD5369">
        <w:rPr>
          <w:rFonts w:ascii="Times New Roman" w:hAnsi="Times New Roman"/>
          <w:b/>
          <w:sz w:val="18"/>
          <w:szCs w:val="18"/>
        </w:rPr>
        <w:t xml:space="preserve"> </w:t>
      </w:r>
      <w:r w:rsidRPr="00DD5369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DD5369">
        <w:rPr>
          <w:rFonts w:ascii="Times New Roman" w:hAnsi="Times New Roman"/>
          <w:b/>
          <w:sz w:val="18"/>
          <w:szCs w:val="18"/>
        </w:rPr>
        <w:t>)</w:t>
      </w:r>
      <w:r w:rsidRPr="00DD5369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</w:t>
      </w:r>
      <w:r w:rsidRPr="00DD5369">
        <w:rPr>
          <w:rFonts w:ascii="Times New Roman" w:hAnsi="Times New Roman"/>
          <w:sz w:val="18"/>
          <w:szCs w:val="18"/>
        </w:rPr>
        <w:lastRenderedPageBreak/>
        <w:t>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D5369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DD5369">
        <w:rPr>
          <w:rFonts w:ascii="Times New Roman" w:hAnsi="Times New Roman"/>
          <w:sz w:val="18"/>
          <w:szCs w:val="18"/>
        </w:rPr>
        <w:t>СанПин</w:t>
      </w:r>
      <w:proofErr w:type="spellEnd"/>
      <w:r w:rsidRPr="00DD5369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DD5369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DD5369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6E15F4" w:rsidRPr="00DD5369" w:rsidRDefault="006E15F4" w:rsidP="00DD5369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D5369">
        <w:rPr>
          <w:rFonts w:ascii="Times New Roman" w:hAnsi="Times New Roman"/>
          <w:sz w:val="18"/>
          <w:szCs w:val="18"/>
        </w:rPr>
        <w:t xml:space="preserve">По вопросам, касающимся качества </w:t>
      </w:r>
      <w:proofErr w:type="spellStart"/>
      <w:r w:rsidRPr="00DD5369">
        <w:rPr>
          <w:rFonts w:ascii="Times New Roman" w:hAnsi="Times New Roman"/>
          <w:sz w:val="18"/>
          <w:szCs w:val="18"/>
        </w:rPr>
        <w:t>Лизирующего</w:t>
      </w:r>
      <w:proofErr w:type="spellEnd"/>
      <w:r w:rsidRPr="00DD5369">
        <w:rPr>
          <w:rFonts w:ascii="Times New Roman" w:hAnsi="Times New Roman"/>
          <w:sz w:val="18"/>
          <w:szCs w:val="18"/>
        </w:rPr>
        <w:t xml:space="preserve"> реагента</w:t>
      </w:r>
      <w:r w:rsidR="00DD53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D5369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="00DD5369">
        <w:rPr>
          <w:rFonts w:ascii="Times New Roman" w:hAnsi="Times New Roman"/>
          <w:b/>
          <w:sz w:val="18"/>
          <w:szCs w:val="18"/>
        </w:rPr>
        <w:t xml:space="preserve"> </w:t>
      </w:r>
      <w:r w:rsidRPr="00DD5369">
        <w:rPr>
          <w:rFonts w:ascii="Times New Roman" w:hAnsi="Times New Roman"/>
          <w:b/>
          <w:sz w:val="18"/>
          <w:szCs w:val="18"/>
        </w:rPr>
        <w:t>ПЕНТ</w:t>
      </w:r>
      <w:r w:rsidR="00DD5369">
        <w:rPr>
          <w:rFonts w:ascii="Times New Roman" w:hAnsi="Times New Roman"/>
          <w:b/>
          <w:sz w:val="18"/>
          <w:szCs w:val="18"/>
        </w:rPr>
        <w:t xml:space="preserve"> </w:t>
      </w:r>
      <w:r w:rsidRPr="00DD5369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DD5369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="00DD5369">
        <w:rPr>
          <w:rFonts w:ascii="Times New Roman" w:hAnsi="Times New Roman"/>
          <w:b/>
          <w:sz w:val="18"/>
          <w:szCs w:val="18"/>
        </w:rPr>
        <w:t xml:space="preserve"> </w:t>
      </w:r>
      <w:r w:rsidRPr="00DD5369">
        <w:rPr>
          <w:rFonts w:ascii="Times New Roman" w:hAnsi="Times New Roman"/>
          <w:b/>
          <w:sz w:val="18"/>
          <w:szCs w:val="18"/>
          <w:lang w:val="en-US"/>
        </w:rPr>
        <w:t>PENT</w:t>
      </w:r>
      <w:r w:rsidRPr="00DD5369">
        <w:rPr>
          <w:rFonts w:ascii="Times New Roman" w:hAnsi="Times New Roman"/>
          <w:b/>
          <w:sz w:val="18"/>
          <w:szCs w:val="18"/>
        </w:rPr>
        <w:t>)</w:t>
      </w:r>
      <w:r w:rsidRPr="00DD5369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DD5369">
          <w:rPr>
            <w:rFonts w:ascii="Times New Roman" w:hAnsi="Times New Roman"/>
            <w:sz w:val="18"/>
            <w:szCs w:val="18"/>
          </w:rPr>
          <w:t>142290, г</w:t>
        </w:r>
      </w:smartTag>
      <w:r w:rsidRPr="00DD5369">
        <w:rPr>
          <w:rFonts w:ascii="Times New Roman" w:hAnsi="Times New Roman"/>
          <w:sz w:val="18"/>
          <w:szCs w:val="18"/>
        </w:rPr>
        <w:t xml:space="preserve">. Пущино,  Московской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7E" w:rsidRDefault="0005487E" w:rsidP="009D53C8">
      <w:pPr>
        <w:spacing w:after="0" w:line="240" w:lineRule="auto"/>
      </w:pPr>
      <w:r>
        <w:separator/>
      </w:r>
    </w:p>
  </w:endnote>
  <w:endnote w:type="continuationSeparator" w:id="1">
    <w:p w:rsidR="0005487E" w:rsidRDefault="0005487E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7E" w:rsidRDefault="0005487E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05487E" w:rsidRPr="006129E6" w:rsidRDefault="0005487E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05487E" w:rsidRPr="000F7900" w:rsidRDefault="0005487E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05487E" w:rsidRPr="000F7900" w:rsidRDefault="0005487E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05487E" w:rsidRPr="000F7900" w:rsidRDefault="0005487E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05487E" w:rsidRDefault="0005487E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05487E" w:rsidRPr="008D325C" w:rsidRDefault="0005487E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05487E" w:rsidRPr="008D325C" w:rsidRDefault="0005487E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05487E" w:rsidRDefault="0005487E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7E" w:rsidRDefault="0005487E" w:rsidP="009D53C8">
      <w:pPr>
        <w:spacing w:after="0" w:line="240" w:lineRule="auto"/>
      </w:pPr>
      <w:r>
        <w:separator/>
      </w:r>
    </w:p>
  </w:footnote>
  <w:footnote w:type="continuationSeparator" w:id="1">
    <w:p w:rsidR="0005487E" w:rsidRDefault="0005487E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05487E" w:rsidTr="00400AAE">
      <w:trPr>
        <w:trHeight w:val="284"/>
      </w:trPr>
      <w:tc>
        <w:tcPr>
          <w:tcW w:w="2518" w:type="dxa"/>
          <w:vMerge w:val="restart"/>
        </w:tcPr>
        <w:p w:rsidR="0005487E" w:rsidRPr="00400AA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05487E" w:rsidRPr="00953310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05487E" w:rsidRPr="00D7001A" w:rsidRDefault="0005487E" w:rsidP="006E15F4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Лизирующий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реагент 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Аутолайз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ПЕНТ</w:t>
          </w:r>
        </w:p>
      </w:tc>
      <w:tc>
        <w:tcPr>
          <w:tcW w:w="1544" w:type="dxa"/>
          <w:vMerge w:val="restart"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87E" w:rsidTr="00400AAE">
      <w:trPr>
        <w:trHeight w:val="262"/>
      </w:trPr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05487E" w:rsidRPr="001B5955" w:rsidRDefault="0005487E" w:rsidP="006E15F4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Autolyse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 xml:space="preserve"> PENT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05487E" w:rsidTr="002A3071"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05487E" w:rsidRPr="00430B5A" w:rsidRDefault="0005487E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05487E" w:rsidRPr="00430B5A" w:rsidRDefault="0005487E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05487E" w:rsidRPr="00EA504C" w:rsidRDefault="0005487E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5487E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1D25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15F4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576CF"/>
    <w:rsid w:val="007B0E36"/>
    <w:rsid w:val="007C72B9"/>
    <w:rsid w:val="007C7302"/>
    <w:rsid w:val="007E2C32"/>
    <w:rsid w:val="007E42C0"/>
    <w:rsid w:val="007E5182"/>
    <w:rsid w:val="007E6C83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39AB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4AF6"/>
    <w:rsid w:val="00A02F0F"/>
    <w:rsid w:val="00A17120"/>
    <w:rsid w:val="00A17EDE"/>
    <w:rsid w:val="00A26361"/>
    <w:rsid w:val="00A5340F"/>
    <w:rsid w:val="00A609F9"/>
    <w:rsid w:val="00A661B3"/>
    <w:rsid w:val="00A66EE9"/>
    <w:rsid w:val="00A836B1"/>
    <w:rsid w:val="00A83760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3924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1F4"/>
    <w:rsid w:val="00D53291"/>
    <w:rsid w:val="00D55E56"/>
    <w:rsid w:val="00D662EA"/>
    <w:rsid w:val="00D665BA"/>
    <w:rsid w:val="00D670C8"/>
    <w:rsid w:val="00D7001A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D5369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55200"/>
    <w:rsid w:val="00E57B16"/>
    <w:rsid w:val="00E65B5F"/>
    <w:rsid w:val="00E776E6"/>
    <w:rsid w:val="00E81176"/>
    <w:rsid w:val="00E81581"/>
    <w:rsid w:val="00E83B0B"/>
    <w:rsid w:val="00E859F6"/>
    <w:rsid w:val="00E9018C"/>
    <w:rsid w:val="00E937FA"/>
    <w:rsid w:val="00EA2154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93A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57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6E1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1B6F-0E3B-4AAB-9E8D-7C6CCEC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770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3</cp:revision>
  <cp:lastPrinted>2017-09-28T08:35:00Z</cp:lastPrinted>
  <dcterms:created xsi:type="dcterms:W3CDTF">2017-09-28T08:21:00Z</dcterms:created>
  <dcterms:modified xsi:type="dcterms:W3CDTF">2017-09-28T08:46:00Z</dcterms:modified>
</cp:coreProperties>
</file>